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8CF5A" w14:textId="77777777" w:rsidR="00525B77" w:rsidRPr="00525B77" w:rsidRDefault="00525B77" w:rsidP="009E19DF">
      <w:pPr>
        <w:jc w:val="center"/>
        <w:rPr>
          <w:b/>
          <w:bCs/>
          <w:sz w:val="32"/>
          <w:szCs w:val="32"/>
        </w:rPr>
      </w:pPr>
      <w:r w:rsidRPr="00525B77">
        <w:rPr>
          <w:b/>
          <w:bCs/>
          <w:sz w:val="32"/>
          <w:szCs w:val="32"/>
        </w:rPr>
        <w:t>South African Home Loan (Bond) Guide 2025</w:t>
      </w:r>
    </w:p>
    <w:p w14:paraId="2AC78C02" w14:textId="1CADCF25" w:rsidR="00525B77" w:rsidRPr="00525B77" w:rsidRDefault="00525B77" w:rsidP="00525B77">
      <w:pPr>
        <w:rPr>
          <w:b/>
          <w:bCs/>
        </w:rPr>
      </w:pPr>
      <w:r w:rsidRPr="00525B77">
        <w:rPr>
          <w:b/>
          <w:bCs/>
        </w:rPr>
        <w:t xml:space="preserve">1. Market Snapshot </w:t>
      </w:r>
    </w:p>
    <w:p w14:paraId="4452FA2C" w14:textId="36A4AC31" w:rsidR="00525B77" w:rsidRDefault="00525B77" w:rsidP="00525B77">
      <w:pPr>
        <w:numPr>
          <w:ilvl w:val="0"/>
          <w:numId w:val="1"/>
        </w:numPr>
      </w:pPr>
      <w:r w:rsidRPr="00525B77">
        <w:rPr>
          <w:b/>
          <w:bCs/>
        </w:rPr>
        <w:t>Current Prime Lending Rate</w:t>
      </w:r>
      <w:r w:rsidRPr="00525B77">
        <w:rPr>
          <w:b/>
          <w:bCs/>
          <w:color w:val="EE0000"/>
        </w:rPr>
        <w:t>:</w:t>
      </w:r>
      <w:r w:rsidRPr="00525B77">
        <w:rPr>
          <w:color w:val="EE0000"/>
        </w:rPr>
        <w:t xml:space="preserve"> 10.25% </w:t>
      </w:r>
    </w:p>
    <w:p w14:paraId="082C0AFA" w14:textId="14116EE5" w:rsidR="00525B77" w:rsidRPr="00525B77" w:rsidRDefault="00525B77" w:rsidP="00525B77">
      <w:pPr>
        <w:ind w:left="720"/>
        <w:rPr>
          <w:color w:val="EE0000"/>
          <w:lang w:val="de-DE"/>
        </w:rPr>
      </w:pPr>
      <w:r w:rsidRPr="00525B77">
        <w:rPr>
          <w:color w:val="EE0000"/>
          <w:lang w:val="de-DE"/>
        </w:rPr>
        <w:t>KAN ONS HIER BY DIE PERSENTASIE DIT SO MAAK DAT DIT VAN DIE RESERWE BANK SE LINK DEURTREK?</w:t>
      </w:r>
    </w:p>
    <w:p w14:paraId="3E5454D5" w14:textId="77777777" w:rsidR="00525B77" w:rsidRPr="00525B77" w:rsidRDefault="00525B77" w:rsidP="00525B77">
      <w:pPr>
        <w:numPr>
          <w:ilvl w:val="0"/>
          <w:numId w:val="1"/>
        </w:numPr>
        <w:rPr>
          <w:color w:val="EE0000"/>
        </w:rPr>
      </w:pPr>
      <w:r w:rsidRPr="00525B77">
        <w:rPr>
          <w:b/>
          <w:bCs/>
        </w:rPr>
        <w:t>Repo Rate</w:t>
      </w:r>
      <w:r w:rsidRPr="00525B77">
        <w:rPr>
          <w:b/>
          <w:bCs/>
          <w:color w:val="EE0000"/>
        </w:rPr>
        <w:t>:</w:t>
      </w:r>
      <w:r w:rsidRPr="00525B77">
        <w:rPr>
          <w:color w:val="EE0000"/>
        </w:rPr>
        <w:t xml:space="preserve"> 6.75%.</w:t>
      </w:r>
    </w:p>
    <w:p w14:paraId="2A818156" w14:textId="77777777" w:rsidR="00525B77" w:rsidRPr="00525B77" w:rsidRDefault="00525B77" w:rsidP="00525B77">
      <w:pPr>
        <w:ind w:left="720"/>
        <w:rPr>
          <w:color w:val="EE0000"/>
          <w:lang w:val="de-DE"/>
        </w:rPr>
      </w:pPr>
      <w:r w:rsidRPr="00525B77">
        <w:rPr>
          <w:color w:val="EE0000"/>
          <w:lang w:val="de-DE"/>
        </w:rPr>
        <w:t>KAN ONS HIER BY DIE PERSENTASIE DIT SO MAAK DAT DIT VAN DIE RESERWE BANK SE LINK DEURTREK?</w:t>
      </w:r>
    </w:p>
    <w:p w14:paraId="7DED79B8" w14:textId="77777777" w:rsidR="00525B77" w:rsidRPr="00525B77" w:rsidRDefault="00525B77" w:rsidP="00525B77">
      <w:r w:rsidRPr="00525B77">
        <w:pict w14:anchorId="2DF48513">
          <v:rect id="_x0000_i1025" style="width:0;height:1.5pt" o:hralign="center" o:hrstd="t" o:hrnoshade="t" o:hr="t" fillcolor="gray" stroked="f"/>
        </w:pict>
      </w:r>
    </w:p>
    <w:p w14:paraId="1A6384C0" w14:textId="77777777" w:rsidR="00525B77" w:rsidRPr="00525B77" w:rsidRDefault="00525B77" w:rsidP="00525B77">
      <w:pPr>
        <w:rPr>
          <w:b/>
          <w:bCs/>
        </w:rPr>
      </w:pPr>
      <w:r w:rsidRPr="00525B77">
        <w:rPr>
          <w:b/>
          <w:bCs/>
        </w:rPr>
        <w:t>2. The Application Process: Step-by-Step</w:t>
      </w:r>
    </w:p>
    <w:p w14:paraId="76E88BCB" w14:textId="77777777" w:rsidR="00525B77" w:rsidRPr="00525B77" w:rsidRDefault="00525B77" w:rsidP="00525B77">
      <w:r w:rsidRPr="00525B77">
        <w:t>Obtaining a bond is rarely a single event; it is a lifecycle that takes 2–3 months.</w:t>
      </w:r>
    </w:p>
    <w:p w14:paraId="5247E6FA" w14:textId="77777777" w:rsidR="00525B77" w:rsidRPr="00525B77" w:rsidRDefault="00525B77" w:rsidP="00525B77">
      <w:pPr>
        <w:rPr>
          <w:b/>
          <w:bCs/>
        </w:rPr>
      </w:pPr>
      <w:r w:rsidRPr="00525B77">
        <w:rPr>
          <w:b/>
          <w:bCs/>
        </w:rPr>
        <w:t>Step 1: Pre-Qualification (The "Soft" Check)</w:t>
      </w:r>
    </w:p>
    <w:p w14:paraId="2B74E4F4" w14:textId="77777777" w:rsidR="00525B77" w:rsidRPr="00525B77" w:rsidRDefault="00525B77" w:rsidP="00525B77">
      <w:r w:rsidRPr="00525B77">
        <w:t xml:space="preserve">Before looking at houses, get a pre-qualification certificate from a bond originator (like </w:t>
      </w:r>
      <w:proofErr w:type="spellStart"/>
      <w:r w:rsidRPr="00525B77">
        <w:t>BetterBond</w:t>
      </w:r>
      <w:proofErr w:type="spellEnd"/>
      <w:r w:rsidRPr="00525B77">
        <w:t xml:space="preserve"> or Ooba) or your bank.</w:t>
      </w:r>
    </w:p>
    <w:p w14:paraId="3E804034" w14:textId="77777777" w:rsidR="00525B77" w:rsidRPr="00525B77" w:rsidRDefault="00525B77" w:rsidP="00525B77">
      <w:pPr>
        <w:numPr>
          <w:ilvl w:val="0"/>
          <w:numId w:val="2"/>
        </w:numPr>
      </w:pPr>
      <w:r w:rsidRPr="00525B77">
        <w:rPr>
          <w:i/>
          <w:iCs/>
        </w:rPr>
        <w:t>Why:</w:t>
      </w:r>
      <w:r w:rsidRPr="00525B77">
        <w:t xml:space="preserve"> It tells you exactly what you can afford and boosts your negotiating power with sellers. It is a soft credit check and does not damage your credit score.</w:t>
      </w:r>
    </w:p>
    <w:p w14:paraId="592BE361" w14:textId="77777777" w:rsidR="00525B77" w:rsidRPr="00525B77" w:rsidRDefault="00525B77" w:rsidP="00525B77">
      <w:pPr>
        <w:rPr>
          <w:b/>
          <w:bCs/>
        </w:rPr>
      </w:pPr>
      <w:r w:rsidRPr="00525B77">
        <w:rPr>
          <w:b/>
          <w:bCs/>
        </w:rPr>
        <w:t>Step 2: The Offer to Purchase (OTP)</w:t>
      </w:r>
    </w:p>
    <w:p w14:paraId="03BEEDF0" w14:textId="77777777" w:rsidR="00525B77" w:rsidRPr="00525B77" w:rsidRDefault="00525B77" w:rsidP="00525B77">
      <w:r w:rsidRPr="00525B77">
        <w:t>Once you find a property, you sign an OTP. This is a legally binding contract.</w:t>
      </w:r>
    </w:p>
    <w:p w14:paraId="4EBAC0AA" w14:textId="77777777" w:rsidR="00525B77" w:rsidRPr="00525B77" w:rsidRDefault="00525B77" w:rsidP="00525B77">
      <w:pPr>
        <w:numPr>
          <w:ilvl w:val="0"/>
          <w:numId w:val="3"/>
        </w:numPr>
      </w:pPr>
      <w:r w:rsidRPr="00525B77">
        <w:rPr>
          <w:i/>
          <w:iCs/>
        </w:rPr>
        <w:t>Crucial Clause:</w:t>
      </w:r>
      <w:r w:rsidRPr="00525B77">
        <w:t xml:space="preserve"> Ensure the OTP has a "suspensive condition" stating the sale is subject to bond approval within a certain timeframe (usually 21–30 days). If you don't get the bond, the deal lapses without penalty.</w:t>
      </w:r>
    </w:p>
    <w:p w14:paraId="6D7E279A" w14:textId="77777777" w:rsidR="00525B77" w:rsidRPr="00525B77" w:rsidRDefault="00525B77" w:rsidP="00525B77">
      <w:pPr>
        <w:rPr>
          <w:b/>
          <w:bCs/>
        </w:rPr>
      </w:pPr>
      <w:r w:rsidRPr="00525B77">
        <w:rPr>
          <w:b/>
          <w:bCs/>
        </w:rPr>
        <w:t>Step 3: Formal Bond Application</w:t>
      </w:r>
    </w:p>
    <w:p w14:paraId="1BC223BA" w14:textId="77777777" w:rsidR="00525B77" w:rsidRPr="00525B77" w:rsidRDefault="00525B77" w:rsidP="00525B77">
      <w:r w:rsidRPr="00525B77">
        <w:t>You submit your documents to the banks. Using a bond originator is highly recommended as they apply to all major banks (Standard Bank, FNB, Absa, Nedbank, Capitec/SA Home Loans) simultaneously to get you the best interest rate.</w:t>
      </w:r>
    </w:p>
    <w:p w14:paraId="01E155E4" w14:textId="77777777" w:rsidR="00525B77" w:rsidRPr="00525B77" w:rsidRDefault="00525B77" w:rsidP="00525B77">
      <w:pPr>
        <w:rPr>
          <w:b/>
          <w:bCs/>
        </w:rPr>
      </w:pPr>
      <w:r w:rsidRPr="00525B77">
        <w:rPr>
          <w:b/>
          <w:bCs/>
        </w:rPr>
        <w:t>Step 4: Bond Approval (Grant)</w:t>
      </w:r>
    </w:p>
    <w:p w14:paraId="3CA8AB99" w14:textId="77777777" w:rsidR="00525B77" w:rsidRPr="00525B77" w:rsidRDefault="00525B77" w:rsidP="00525B77">
      <w:r w:rsidRPr="00525B77">
        <w:t>The bank issues a "Quotation and Grant".</w:t>
      </w:r>
    </w:p>
    <w:p w14:paraId="2DCBE706" w14:textId="77777777" w:rsidR="00525B77" w:rsidRPr="00525B77" w:rsidRDefault="00525B77" w:rsidP="00525B77">
      <w:pPr>
        <w:numPr>
          <w:ilvl w:val="0"/>
          <w:numId w:val="4"/>
        </w:numPr>
      </w:pPr>
      <w:r w:rsidRPr="00525B77">
        <w:rPr>
          <w:i/>
          <w:iCs/>
        </w:rPr>
        <w:t>Check:</w:t>
      </w:r>
      <w:r w:rsidRPr="00525B77">
        <w:t xml:space="preserve"> Look at the interest rate offered (e.g., Prime minus 0.5% or Prime plus 1%).</w:t>
      </w:r>
    </w:p>
    <w:p w14:paraId="026AA4E1" w14:textId="77777777" w:rsidR="00525B77" w:rsidRDefault="00525B77" w:rsidP="00525B77">
      <w:pPr>
        <w:numPr>
          <w:ilvl w:val="0"/>
          <w:numId w:val="4"/>
        </w:numPr>
      </w:pPr>
      <w:r w:rsidRPr="00525B77">
        <w:rPr>
          <w:i/>
          <w:iCs/>
        </w:rPr>
        <w:t>Acceptance:</w:t>
      </w:r>
      <w:r w:rsidRPr="00525B77">
        <w:t xml:space="preserve"> You sign the quote to accept the loan terms.</w:t>
      </w:r>
    </w:p>
    <w:p w14:paraId="778C4E71" w14:textId="77777777" w:rsidR="00525B77" w:rsidRDefault="00525B77" w:rsidP="00525B77">
      <w:pPr>
        <w:ind w:left="720"/>
      </w:pPr>
    </w:p>
    <w:p w14:paraId="71645E32" w14:textId="77777777" w:rsidR="009E19DF" w:rsidRDefault="009E19DF" w:rsidP="00525B77">
      <w:pPr>
        <w:ind w:left="720"/>
      </w:pPr>
    </w:p>
    <w:p w14:paraId="3B586B3B" w14:textId="77777777" w:rsidR="009E19DF" w:rsidRDefault="009E19DF" w:rsidP="00525B77">
      <w:pPr>
        <w:ind w:left="720"/>
      </w:pPr>
    </w:p>
    <w:p w14:paraId="5BB5A11D" w14:textId="77777777" w:rsidR="009E19DF" w:rsidRPr="00525B77" w:rsidRDefault="009E19DF" w:rsidP="00525B77">
      <w:pPr>
        <w:ind w:left="720"/>
      </w:pPr>
    </w:p>
    <w:p w14:paraId="5043FB18" w14:textId="77777777" w:rsidR="00525B77" w:rsidRPr="00525B77" w:rsidRDefault="00525B77" w:rsidP="00525B77">
      <w:pPr>
        <w:rPr>
          <w:b/>
          <w:bCs/>
        </w:rPr>
      </w:pPr>
      <w:r w:rsidRPr="00525B77">
        <w:rPr>
          <w:b/>
          <w:bCs/>
        </w:rPr>
        <w:lastRenderedPageBreak/>
        <w:t>Step 5: Registration (The Legal Phase)</w:t>
      </w:r>
    </w:p>
    <w:p w14:paraId="5B0499C4" w14:textId="77777777" w:rsidR="00525B77" w:rsidRPr="00525B77" w:rsidRDefault="00525B77" w:rsidP="00525B77">
      <w:r w:rsidRPr="00525B77">
        <w:t>Three attorneys now work on the transaction (usually appointed by the seller/bank, but paid for by you):</w:t>
      </w:r>
    </w:p>
    <w:p w14:paraId="5A8BE113" w14:textId="77777777" w:rsidR="00525B77" w:rsidRPr="00525B77" w:rsidRDefault="00525B77" w:rsidP="00525B77">
      <w:pPr>
        <w:numPr>
          <w:ilvl w:val="0"/>
          <w:numId w:val="5"/>
        </w:numPr>
      </w:pPr>
      <w:r w:rsidRPr="00525B77">
        <w:rPr>
          <w:b/>
          <w:bCs/>
        </w:rPr>
        <w:t>Transfer Attorney:</w:t>
      </w:r>
      <w:r w:rsidRPr="00525B77">
        <w:t xml:space="preserve"> Transfers the property from seller to buyer.</w:t>
      </w:r>
    </w:p>
    <w:p w14:paraId="43466CD2" w14:textId="77777777" w:rsidR="00525B77" w:rsidRPr="00525B77" w:rsidRDefault="00525B77" w:rsidP="00525B77">
      <w:pPr>
        <w:numPr>
          <w:ilvl w:val="0"/>
          <w:numId w:val="5"/>
        </w:numPr>
      </w:pPr>
      <w:r w:rsidRPr="00525B77">
        <w:rPr>
          <w:b/>
          <w:bCs/>
        </w:rPr>
        <w:t>Bond Attorney:</w:t>
      </w:r>
      <w:r w:rsidRPr="00525B77">
        <w:t xml:space="preserve"> Registers the bond in the bank's </w:t>
      </w:r>
      <w:proofErr w:type="spellStart"/>
      <w:r w:rsidRPr="00525B77">
        <w:t>favor</w:t>
      </w:r>
      <w:proofErr w:type="spellEnd"/>
      <w:r w:rsidRPr="00525B77">
        <w:t>.</w:t>
      </w:r>
    </w:p>
    <w:p w14:paraId="7FC982BC" w14:textId="77777777" w:rsidR="00525B77" w:rsidRPr="00525B77" w:rsidRDefault="00525B77" w:rsidP="00525B77">
      <w:pPr>
        <w:numPr>
          <w:ilvl w:val="0"/>
          <w:numId w:val="5"/>
        </w:numPr>
      </w:pPr>
      <w:r w:rsidRPr="00525B77">
        <w:rPr>
          <w:b/>
          <w:bCs/>
        </w:rPr>
        <w:t>Cancellation Attorney:</w:t>
      </w:r>
      <w:r w:rsidRPr="00525B77">
        <w:t xml:space="preserve"> Cancels the seller's old bond.</w:t>
      </w:r>
    </w:p>
    <w:p w14:paraId="70A96D51" w14:textId="77777777" w:rsidR="00525B77" w:rsidRPr="00525B77" w:rsidRDefault="00525B77" w:rsidP="00525B77">
      <w:pPr>
        <w:numPr>
          <w:ilvl w:val="0"/>
          <w:numId w:val="6"/>
        </w:numPr>
      </w:pPr>
      <w:r w:rsidRPr="00525B77">
        <w:rPr>
          <w:i/>
          <w:iCs/>
        </w:rPr>
        <w:t>Completion:</w:t>
      </w:r>
      <w:r w:rsidRPr="00525B77">
        <w:t xml:space="preserve"> The property is lodged at the Deeds Office. 10–15 days later, the property is registered in your name.</w:t>
      </w:r>
    </w:p>
    <w:p w14:paraId="2ED3A28E" w14:textId="77777777" w:rsidR="00525B77" w:rsidRPr="00525B77" w:rsidRDefault="00525B77" w:rsidP="00525B77">
      <w:r w:rsidRPr="00525B77">
        <w:pict w14:anchorId="18A1E94B">
          <v:rect id="_x0000_i1026" style="width:0;height:1.5pt" o:hralign="center" o:hrstd="t" o:hrnoshade="t" o:hr="t" fillcolor="gray" stroked="f"/>
        </w:pict>
      </w:r>
    </w:p>
    <w:p w14:paraId="080FEB3F" w14:textId="77777777" w:rsidR="00525B77" w:rsidRPr="00525B77" w:rsidRDefault="00525B77" w:rsidP="00525B77">
      <w:pPr>
        <w:rPr>
          <w:b/>
          <w:bCs/>
        </w:rPr>
      </w:pPr>
      <w:r w:rsidRPr="00525B77">
        <w:rPr>
          <w:b/>
          <w:bCs/>
        </w:rPr>
        <w:t>3. Qualification "Checklist"</w:t>
      </w:r>
    </w:p>
    <w:p w14:paraId="65C07234" w14:textId="77777777" w:rsidR="00525B77" w:rsidRPr="00525B77" w:rsidRDefault="00525B77" w:rsidP="00525B77">
      <w:r w:rsidRPr="00525B77">
        <w:t>To be considered for a bond, you generally need:</w:t>
      </w:r>
    </w:p>
    <w:p w14:paraId="22EA1613" w14:textId="77777777" w:rsidR="00525B77" w:rsidRPr="00525B77" w:rsidRDefault="00525B77" w:rsidP="00525B77">
      <w:pPr>
        <w:numPr>
          <w:ilvl w:val="0"/>
          <w:numId w:val="7"/>
        </w:numPr>
      </w:pPr>
      <w:r w:rsidRPr="00525B77">
        <w:rPr>
          <w:b/>
          <w:bCs/>
        </w:rPr>
        <w:t>Credit Score:</w:t>
      </w:r>
      <w:r w:rsidRPr="00525B77">
        <w:t xml:space="preserve"> A score of </w:t>
      </w:r>
      <w:r w:rsidRPr="00525B77">
        <w:rPr>
          <w:b/>
          <w:bCs/>
        </w:rPr>
        <w:t>610+</w:t>
      </w:r>
      <w:r w:rsidRPr="00525B77">
        <w:t xml:space="preserve"> is the minimum entry, but </w:t>
      </w:r>
      <w:r w:rsidRPr="00525B77">
        <w:rPr>
          <w:b/>
          <w:bCs/>
        </w:rPr>
        <w:t>650+</w:t>
      </w:r>
      <w:r w:rsidRPr="00525B77">
        <w:t xml:space="preserve"> is preferred for competitive interest rates.</w:t>
      </w:r>
    </w:p>
    <w:p w14:paraId="095DA0EF" w14:textId="77777777" w:rsidR="00525B77" w:rsidRPr="00525B77" w:rsidRDefault="00525B77" w:rsidP="00525B77">
      <w:pPr>
        <w:numPr>
          <w:ilvl w:val="0"/>
          <w:numId w:val="7"/>
        </w:numPr>
      </w:pPr>
      <w:r w:rsidRPr="00525B77">
        <w:rPr>
          <w:b/>
          <w:bCs/>
        </w:rPr>
        <w:t>Affordability:</w:t>
      </w:r>
      <w:r w:rsidRPr="00525B77">
        <w:t xml:space="preserve"> Your bond repayment should ideally not exceed </w:t>
      </w:r>
      <w:r w:rsidRPr="00525B77">
        <w:rPr>
          <w:b/>
          <w:bCs/>
        </w:rPr>
        <w:t>30%</w:t>
      </w:r>
      <w:r w:rsidRPr="00525B77">
        <w:t xml:space="preserve"> of your gross monthly income.</w:t>
      </w:r>
    </w:p>
    <w:p w14:paraId="67F3B5FB" w14:textId="77777777" w:rsidR="00525B77" w:rsidRPr="00525B77" w:rsidRDefault="00525B77" w:rsidP="00525B77">
      <w:pPr>
        <w:numPr>
          <w:ilvl w:val="0"/>
          <w:numId w:val="7"/>
        </w:numPr>
      </w:pPr>
      <w:r w:rsidRPr="00525B77">
        <w:rPr>
          <w:b/>
          <w:bCs/>
        </w:rPr>
        <w:t>Employment:</w:t>
      </w:r>
    </w:p>
    <w:p w14:paraId="0B995121" w14:textId="77777777" w:rsidR="00525B77" w:rsidRPr="00525B77" w:rsidRDefault="00525B77" w:rsidP="00525B77">
      <w:pPr>
        <w:numPr>
          <w:ilvl w:val="1"/>
          <w:numId w:val="7"/>
        </w:numPr>
      </w:pPr>
      <w:r w:rsidRPr="00525B77">
        <w:rPr>
          <w:i/>
          <w:iCs/>
        </w:rPr>
        <w:t>Salaried:</w:t>
      </w:r>
      <w:r w:rsidRPr="00525B77">
        <w:t xml:space="preserve"> 3 months' payslips and 3 months' bank statements.</w:t>
      </w:r>
    </w:p>
    <w:p w14:paraId="13CA0488" w14:textId="77777777" w:rsidR="00525B77" w:rsidRPr="00525B77" w:rsidRDefault="00525B77" w:rsidP="00525B77">
      <w:pPr>
        <w:numPr>
          <w:ilvl w:val="1"/>
          <w:numId w:val="7"/>
        </w:numPr>
      </w:pPr>
      <w:r w:rsidRPr="00525B77">
        <w:rPr>
          <w:i/>
          <w:iCs/>
        </w:rPr>
        <w:t>Commission/OT:</w:t>
      </w:r>
      <w:r w:rsidRPr="00525B77">
        <w:t xml:space="preserve"> 6 months' payslips and bank statements.</w:t>
      </w:r>
    </w:p>
    <w:p w14:paraId="481C88F5" w14:textId="77777777" w:rsidR="00525B77" w:rsidRPr="00525B77" w:rsidRDefault="00525B77" w:rsidP="00525B77">
      <w:pPr>
        <w:numPr>
          <w:ilvl w:val="1"/>
          <w:numId w:val="7"/>
        </w:numPr>
      </w:pPr>
      <w:r w:rsidRPr="00525B77">
        <w:rPr>
          <w:i/>
          <w:iCs/>
        </w:rPr>
        <w:t>Self-Employed:</w:t>
      </w:r>
      <w:r w:rsidRPr="00525B77">
        <w:t xml:space="preserve"> 2 years' Annual Financial Statements (AFS) and 6 months' business/personal bank statements.</w:t>
      </w:r>
    </w:p>
    <w:p w14:paraId="09BEF7A6" w14:textId="77777777" w:rsidR="00525B77" w:rsidRPr="00525B77" w:rsidRDefault="00525B77" w:rsidP="00525B77">
      <w:r w:rsidRPr="00525B77">
        <w:pict w14:anchorId="167FAF5A">
          <v:rect id="_x0000_i1027" style="width:0;height:1.5pt" o:hralign="center" o:hrstd="t" o:hrnoshade="t" o:hr="t" fillcolor="gray" stroked="f"/>
        </w:pict>
      </w:r>
    </w:p>
    <w:p w14:paraId="07EBF6B1" w14:textId="77777777" w:rsidR="009E19DF" w:rsidRDefault="009E19DF" w:rsidP="00525B77">
      <w:pPr>
        <w:rPr>
          <w:b/>
          <w:bCs/>
        </w:rPr>
      </w:pPr>
    </w:p>
    <w:p w14:paraId="440724D7" w14:textId="77777777" w:rsidR="009E19DF" w:rsidRDefault="009E19DF" w:rsidP="00525B77">
      <w:pPr>
        <w:rPr>
          <w:b/>
          <w:bCs/>
        </w:rPr>
      </w:pPr>
    </w:p>
    <w:p w14:paraId="37EF0A73" w14:textId="77777777" w:rsidR="009E19DF" w:rsidRDefault="009E19DF" w:rsidP="00525B77">
      <w:pPr>
        <w:rPr>
          <w:b/>
          <w:bCs/>
        </w:rPr>
      </w:pPr>
    </w:p>
    <w:p w14:paraId="466963C5" w14:textId="77777777" w:rsidR="009E19DF" w:rsidRDefault="009E19DF" w:rsidP="00525B77">
      <w:pPr>
        <w:rPr>
          <w:b/>
          <w:bCs/>
        </w:rPr>
      </w:pPr>
    </w:p>
    <w:p w14:paraId="37B2C27B" w14:textId="77777777" w:rsidR="009E19DF" w:rsidRDefault="009E19DF" w:rsidP="00525B77">
      <w:pPr>
        <w:rPr>
          <w:b/>
          <w:bCs/>
        </w:rPr>
      </w:pPr>
    </w:p>
    <w:p w14:paraId="09FC604C" w14:textId="77777777" w:rsidR="009E19DF" w:rsidRDefault="009E19DF" w:rsidP="00525B77">
      <w:pPr>
        <w:rPr>
          <w:b/>
          <w:bCs/>
        </w:rPr>
      </w:pPr>
    </w:p>
    <w:p w14:paraId="53415622" w14:textId="77777777" w:rsidR="009E19DF" w:rsidRDefault="009E19DF" w:rsidP="00525B77">
      <w:pPr>
        <w:rPr>
          <w:b/>
          <w:bCs/>
        </w:rPr>
      </w:pPr>
    </w:p>
    <w:p w14:paraId="6112E52B" w14:textId="77777777" w:rsidR="009E19DF" w:rsidRDefault="009E19DF" w:rsidP="00525B77">
      <w:pPr>
        <w:rPr>
          <w:b/>
          <w:bCs/>
        </w:rPr>
      </w:pPr>
    </w:p>
    <w:p w14:paraId="54DEA464" w14:textId="77777777" w:rsidR="009E19DF" w:rsidRDefault="009E19DF" w:rsidP="00525B77">
      <w:pPr>
        <w:rPr>
          <w:b/>
          <w:bCs/>
        </w:rPr>
      </w:pPr>
    </w:p>
    <w:p w14:paraId="751B96AD" w14:textId="77777777" w:rsidR="009E19DF" w:rsidRDefault="009E19DF" w:rsidP="00525B77">
      <w:pPr>
        <w:rPr>
          <w:b/>
          <w:bCs/>
        </w:rPr>
      </w:pPr>
    </w:p>
    <w:p w14:paraId="78ED2D4C" w14:textId="77777777" w:rsidR="009E19DF" w:rsidRDefault="009E19DF" w:rsidP="00525B77">
      <w:pPr>
        <w:rPr>
          <w:b/>
          <w:bCs/>
        </w:rPr>
      </w:pPr>
    </w:p>
    <w:p w14:paraId="2D57157C" w14:textId="77777777" w:rsidR="009E19DF" w:rsidRDefault="009E19DF" w:rsidP="00525B77">
      <w:pPr>
        <w:rPr>
          <w:b/>
          <w:bCs/>
        </w:rPr>
      </w:pPr>
    </w:p>
    <w:p w14:paraId="7E2F4A35" w14:textId="3DEFA343" w:rsidR="00525B77" w:rsidRPr="00525B77" w:rsidRDefault="00525B77" w:rsidP="00525B77">
      <w:pPr>
        <w:rPr>
          <w:b/>
          <w:bCs/>
        </w:rPr>
      </w:pPr>
      <w:r w:rsidRPr="00525B77">
        <w:rPr>
          <w:b/>
          <w:bCs/>
        </w:rPr>
        <w:t>4. The "Hidden" Costs</w:t>
      </w:r>
    </w:p>
    <w:p w14:paraId="773EC837" w14:textId="77777777" w:rsidR="00525B77" w:rsidRPr="00525B77" w:rsidRDefault="00525B77" w:rsidP="00525B77">
      <w:r w:rsidRPr="00525B77">
        <w:t xml:space="preserve">A common mistake is budgeting only for the deposit. You must have cash available for </w:t>
      </w:r>
      <w:r w:rsidRPr="00525B77">
        <w:rPr>
          <w:b/>
          <w:bCs/>
        </w:rPr>
        <w:t>Transfer</w:t>
      </w:r>
      <w:r w:rsidRPr="00525B77">
        <w:t xml:space="preserve"> and </w:t>
      </w:r>
      <w:r w:rsidRPr="00525B77">
        <w:rPr>
          <w:b/>
          <w:bCs/>
        </w:rPr>
        <w:t>Bond Registration</w:t>
      </w:r>
      <w:r w:rsidRPr="00525B77">
        <w:t xml:space="preserve"> costs, which cannot be added to the bond (unless you get a 105% bond, which is rare and usually reserved for first-time buyers).</w:t>
      </w:r>
    </w:p>
    <w:tbl>
      <w:tblPr>
        <w:tblW w:w="0" w:type="auto"/>
        <w:tblCellSpacing w:w="15" w:type="dxa"/>
        <w:tblCellMar>
          <w:left w:w="0" w:type="dxa"/>
          <w:right w:w="0" w:type="dxa"/>
        </w:tblCellMar>
        <w:tblLook w:val="04A0" w:firstRow="1" w:lastRow="0" w:firstColumn="1" w:lastColumn="0" w:noHBand="0" w:noVBand="1"/>
      </w:tblPr>
      <w:tblGrid>
        <w:gridCol w:w="2402"/>
        <w:gridCol w:w="5675"/>
        <w:gridCol w:w="2373"/>
      </w:tblGrid>
      <w:tr w:rsidR="00525B77" w:rsidRPr="00525B77" w14:paraId="72278CF5" w14:textId="77777777" w:rsidTr="009E19DF">
        <w:trPr>
          <w:tblHeader/>
          <w:tblCellSpacing w:w="15" w:type="dxa"/>
        </w:trPr>
        <w:tc>
          <w:tcPr>
            <w:tcW w:w="2357" w:type="dxa"/>
            <w:tcBorders>
              <w:top w:val="single" w:sz="6" w:space="0" w:color="auto"/>
              <w:left w:val="single" w:sz="6" w:space="0" w:color="auto"/>
              <w:bottom w:val="single" w:sz="6" w:space="0" w:color="auto"/>
              <w:right w:val="single" w:sz="6" w:space="0" w:color="auto"/>
            </w:tcBorders>
            <w:shd w:val="clear" w:color="auto" w:fill="ADADAD" w:themeFill="background2" w:themeFillShade="BF"/>
            <w:tcMar>
              <w:top w:w="120" w:type="dxa"/>
              <w:left w:w="180" w:type="dxa"/>
              <w:bottom w:w="120" w:type="dxa"/>
              <w:right w:w="180" w:type="dxa"/>
            </w:tcMar>
            <w:vAlign w:val="center"/>
            <w:hideMark/>
          </w:tcPr>
          <w:p w14:paraId="3E93D4A6" w14:textId="77777777" w:rsidR="00525B77" w:rsidRPr="00525B77" w:rsidRDefault="00525B77" w:rsidP="00525B77">
            <w:r w:rsidRPr="00525B77">
              <w:rPr>
                <w:b/>
                <w:bCs/>
              </w:rPr>
              <w:t>Cost Type</w:t>
            </w:r>
          </w:p>
        </w:tc>
        <w:tc>
          <w:tcPr>
            <w:tcW w:w="5645" w:type="dxa"/>
            <w:tcBorders>
              <w:top w:val="single" w:sz="6" w:space="0" w:color="auto"/>
              <w:left w:val="single" w:sz="6" w:space="0" w:color="auto"/>
              <w:bottom w:val="single" w:sz="6" w:space="0" w:color="auto"/>
              <w:right w:val="single" w:sz="6" w:space="0" w:color="auto"/>
            </w:tcBorders>
            <w:shd w:val="clear" w:color="auto" w:fill="ADADAD" w:themeFill="background2" w:themeFillShade="BF"/>
            <w:tcMar>
              <w:top w:w="120" w:type="dxa"/>
              <w:left w:w="180" w:type="dxa"/>
              <w:bottom w:w="120" w:type="dxa"/>
              <w:right w:w="180" w:type="dxa"/>
            </w:tcMar>
            <w:vAlign w:val="center"/>
            <w:hideMark/>
          </w:tcPr>
          <w:p w14:paraId="4851C915" w14:textId="77777777" w:rsidR="00525B77" w:rsidRPr="00525B77" w:rsidRDefault="00525B77" w:rsidP="00525B77">
            <w:r w:rsidRPr="00525B77">
              <w:rPr>
                <w:b/>
                <w:bCs/>
              </w:rPr>
              <w:t>Description</w:t>
            </w:r>
          </w:p>
        </w:tc>
        <w:tc>
          <w:tcPr>
            <w:tcW w:w="0" w:type="auto"/>
            <w:tcBorders>
              <w:top w:val="single" w:sz="6" w:space="0" w:color="auto"/>
              <w:left w:val="single" w:sz="6" w:space="0" w:color="auto"/>
              <w:bottom w:val="single" w:sz="6" w:space="0" w:color="auto"/>
              <w:right w:val="single" w:sz="6" w:space="0" w:color="auto"/>
            </w:tcBorders>
            <w:shd w:val="clear" w:color="auto" w:fill="ADADAD" w:themeFill="background2" w:themeFillShade="BF"/>
            <w:tcMar>
              <w:top w:w="120" w:type="dxa"/>
              <w:left w:w="180" w:type="dxa"/>
              <w:bottom w:w="120" w:type="dxa"/>
              <w:right w:w="180" w:type="dxa"/>
            </w:tcMar>
            <w:vAlign w:val="center"/>
            <w:hideMark/>
          </w:tcPr>
          <w:p w14:paraId="049C103C" w14:textId="77777777" w:rsidR="00525B77" w:rsidRPr="00525B77" w:rsidRDefault="00525B77" w:rsidP="00525B77">
            <w:r w:rsidRPr="00525B77">
              <w:rPr>
                <w:b/>
                <w:bCs/>
              </w:rPr>
              <w:t>Who do you pay?</w:t>
            </w:r>
          </w:p>
        </w:tc>
      </w:tr>
      <w:tr w:rsidR="00525B77" w:rsidRPr="00525B77" w14:paraId="79EAF40F" w14:textId="77777777" w:rsidTr="009E19DF">
        <w:trPr>
          <w:trHeight w:val="284"/>
          <w:tblCellSpacing w:w="15" w:type="dxa"/>
        </w:trPr>
        <w:tc>
          <w:tcPr>
            <w:tcW w:w="2357" w:type="dxa"/>
            <w:tcBorders>
              <w:top w:val="single" w:sz="6" w:space="0" w:color="auto"/>
              <w:left w:val="single" w:sz="6" w:space="0" w:color="auto"/>
              <w:bottom w:val="single" w:sz="6" w:space="0" w:color="auto"/>
              <w:right w:val="single" w:sz="6" w:space="0" w:color="auto"/>
            </w:tcBorders>
            <w:shd w:val="clear" w:color="auto" w:fill="ADADAD" w:themeFill="background2" w:themeFillShade="BF"/>
            <w:tcMar>
              <w:top w:w="120" w:type="dxa"/>
              <w:left w:w="180" w:type="dxa"/>
              <w:bottom w:w="120" w:type="dxa"/>
              <w:right w:w="180" w:type="dxa"/>
            </w:tcMar>
            <w:vAlign w:val="center"/>
            <w:hideMark/>
          </w:tcPr>
          <w:p w14:paraId="725797ED" w14:textId="77777777" w:rsidR="00525B77" w:rsidRPr="00525B77" w:rsidRDefault="00525B77" w:rsidP="00525B77">
            <w:r w:rsidRPr="00525B77">
              <w:rPr>
                <w:b/>
                <w:bCs/>
              </w:rPr>
              <w:t>Transfer Duty</w:t>
            </w:r>
          </w:p>
        </w:tc>
        <w:tc>
          <w:tcPr>
            <w:tcW w:w="5645"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56C41EE" w14:textId="77777777" w:rsidR="00525B77" w:rsidRPr="00525B77" w:rsidRDefault="00525B77" w:rsidP="00525B77">
            <w:r w:rsidRPr="00525B77">
              <w:t>Tax paid to SARS. (Properties under R1.1 million are exempt).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52A116A" w14:textId="77777777" w:rsidR="00525B77" w:rsidRPr="00525B77" w:rsidRDefault="00525B77" w:rsidP="00525B77">
            <w:r w:rsidRPr="00525B77">
              <w:t>Transfer Attorney</w:t>
            </w:r>
          </w:p>
        </w:tc>
      </w:tr>
      <w:tr w:rsidR="00525B77" w:rsidRPr="00525B77" w14:paraId="7EBE5703" w14:textId="77777777" w:rsidTr="009E19DF">
        <w:trPr>
          <w:trHeight w:val="284"/>
          <w:tblCellSpacing w:w="15" w:type="dxa"/>
        </w:trPr>
        <w:tc>
          <w:tcPr>
            <w:tcW w:w="2357" w:type="dxa"/>
            <w:tcBorders>
              <w:top w:val="single" w:sz="6" w:space="0" w:color="auto"/>
              <w:left w:val="single" w:sz="6" w:space="0" w:color="auto"/>
              <w:bottom w:val="single" w:sz="6" w:space="0" w:color="auto"/>
              <w:right w:val="single" w:sz="6" w:space="0" w:color="auto"/>
            </w:tcBorders>
            <w:shd w:val="clear" w:color="auto" w:fill="ADADAD" w:themeFill="background2" w:themeFillShade="BF"/>
            <w:tcMar>
              <w:top w:w="120" w:type="dxa"/>
              <w:left w:w="180" w:type="dxa"/>
              <w:bottom w:w="120" w:type="dxa"/>
              <w:right w:w="180" w:type="dxa"/>
            </w:tcMar>
            <w:vAlign w:val="center"/>
            <w:hideMark/>
          </w:tcPr>
          <w:p w14:paraId="45A1DA83" w14:textId="77777777" w:rsidR="00525B77" w:rsidRPr="00525B77" w:rsidRDefault="00525B77" w:rsidP="00525B77">
            <w:r w:rsidRPr="00525B77">
              <w:rPr>
                <w:b/>
                <w:bCs/>
              </w:rPr>
              <w:t>Transfer Fees</w:t>
            </w:r>
          </w:p>
        </w:tc>
        <w:tc>
          <w:tcPr>
            <w:tcW w:w="5645"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D489F31" w14:textId="77777777" w:rsidR="00525B77" w:rsidRPr="00525B77" w:rsidRDefault="00525B77" w:rsidP="00525B77">
            <w:r w:rsidRPr="00525B77">
              <w:t>Fees for the attorney doing the paperwork.</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60FFF35" w14:textId="77777777" w:rsidR="00525B77" w:rsidRPr="00525B77" w:rsidRDefault="00525B77" w:rsidP="00525B77">
            <w:r w:rsidRPr="00525B77">
              <w:t>Transfer Attorney</w:t>
            </w:r>
          </w:p>
        </w:tc>
      </w:tr>
      <w:tr w:rsidR="00525B77" w:rsidRPr="00525B77" w14:paraId="2A218E6D" w14:textId="77777777" w:rsidTr="009E19DF">
        <w:trPr>
          <w:trHeight w:val="284"/>
          <w:tblCellSpacing w:w="15" w:type="dxa"/>
        </w:trPr>
        <w:tc>
          <w:tcPr>
            <w:tcW w:w="2357" w:type="dxa"/>
            <w:tcBorders>
              <w:top w:val="single" w:sz="6" w:space="0" w:color="auto"/>
              <w:left w:val="single" w:sz="6" w:space="0" w:color="auto"/>
              <w:bottom w:val="single" w:sz="6" w:space="0" w:color="auto"/>
              <w:right w:val="single" w:sz="6" w:space="0" w:color="auto"/>
            </w:tcBorders>
            <w:shd w:val="clear" w:color="auto" w:fill="ADADAD" w:themeFill="background2" w:themeFillShade="BF"/>
            <w:tcMar>
              <w:top w:w="120" w:type="dxa"/>
              <w:left w:w="180" w:type="dxa"/>
              <w:bottom w:w="120" w:type="dxa"/>
              <w:right w:w="180" w:type="dxa"/>
            </w:tcMar>
            <w:vAlign w:val="center"/>
            <w:hideMark/>
          </w:tcPr>
          <w:p w14:paraId="671D0839" w14:textId="77777777" w:rsidR="00525B77" w:rsidRPr="00525B77" w:rsidRDefault="00525B77" w:rsidP="00525B77">
            <w:r w:rsidRPr="00525B77">
              <w:rPr>
                <w:b/>
                <w:bCs/>
              </w:rPr>
              <w:t>Bond Registration</w:t>
            </w:r>
          </w:p>
        </w:tc>
        <w:tc>
          <w:tcPr>
            <w:tcW w:w="5645"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FD14F8B" w14:textId="77777777" w:rsidR="00525B77" w:rsidRPr="00525B77" w:rsidRDefault="00525B77" w:rsidP="00525B77">
            <w:r w:rsidRPr="00525B77">
              <w:t>Fees for registering the loan at the Deeds Office.</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BE5635B" w14:textId="77777777" w:rsidR="00525B77" w:rsidRPr="00525B77" w:rsidRDefault="00525B77" w:rsidP="00525B77">
            <w:r w:rsidRPr="00525B77">
              <w:t>Bond Attorney</w:t>
            </w:r>
          </w:p>
        </w:tc>
      </w:tr>
      <w:tr w:rsidR="00525B77" w:rsidRPr="00525B77" w14:paraId="28BB984D" w14:textId="77777777" w:rsidTr="009E19DF">
        <w:trPr>
          <w:trHeight w:val="284"/>
          <w:tblCellSpacing w:w="15" w:type="dxa"/>
        </w:trPr>
        <w:tc>
          <w:tcPr>
            <w:tcW w:w="2357" w:type="dxa"/>
            <w:tcBorders>
              <w:top w:val="single" w:sz="6" w:space="0" w:color="auto"/>
              <w:left w:val="single" w:sz="6" w:space="0" w:color="auto"/>
              <w:bottom w:val="single" w:sz="6" w:space="0" w:color="auto"/>
              <w:right w:val="single" w:sz="6" w:space="0" w:color="auto"/>
            </w:tcBorders>
            <w:shd w:val="clear" w:color="auto" w:fill="ADADAD" w:themeFill="background2" w:themeFillShade="BF"/>
            <w:tcMar>
              <w:top w:w="120" w:type="dxa"/>
              <w:left w:w="180" w:type="dxa"/>
              <w:bottom w:w="120" w:type="dxa"/>
              <w:right w:w="180" w:type="dxa"/>
            </w:tcMar>
            <w:vAlign w:val="center"/>
            <w:hideMark/>
          </w:tcPr>
          <w:p w14:paraId="6461A285" w14:textId="77777777" w:rsidR="00525B77" w:rsidRPr="00525B77" w:rsidRDefault="00525B77" w:rsidP="00525B77">
            <w:r w:rsidRPr="00525B77">
              <w:rPr>
                <w:b/>
                <w:bCs/>
              </w:rPr>
              <w:t>Bank Initiation</w:t>
            </w:r>
          </w:p>
        </w:tc>
        <w:tc>
          <w:tcPr>
            <w:tcW w:w="5645"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0A4A7A1" w14:textId="77777777" w:rsidR="00525B77" w:rsidRPr="00525B77" w:rsidRDefault="00525B77" w:rsidP="00525B77">
            <w:r w:rsidRPr="00525B77">
              <w:t>Admin fee for opening the loan (Capped at ~R6,037).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7BF80C4" w14:textId="2800055C" w:rsidR="00525B77" w:rsidRPr="00525B77" w:rsidRDefault="00525B77" w:rsidP="009E19DF">
            <w:r w:rsidRPr="00525B77">
              <w:t>Bank (often added to loan)</w:t>
            </w:r>
          </w:p>
        </w:tc>
      </w:tr>
    </w:tbl>
    <w:p w14:paraId="3FCE852F" w14:textId="77777777" w:rsidR="00525B77" w:rsidRPr="00525B77" w:rsidRDefault="00525B77" w:rsidP="00525B77">
      <w:r w:rsidRPr="00525B77">
        <w:pict w14:anchorId="3B76BFA6">
          <v:rect id="_x0000_i1028" style="width:0;height:1.5pt" o:hralign="center" o:hrstd="t" o:hrnoshade="t" o:hr="t" fillcolor="gray" stroked="f"/>
        </w:pict>
      </w:r>
    </w:p>
    <w:p w14:paraId="70D8334A" w14:textId="77777777" w:rsidR="00525B77" w:rsidRPr="00525B77" w:rsidRDefault="00525B77" w:rsidP="00525B77">
      <w:pPr>
        <w:rPr>
          <w:b/>
          <w:bCs/>
        </w:rPr>
      </w:pPr>
      <w:r w:rsidRPr="00525B77">
        <w:rPr>
          <w:b/>
          <w:bCs/>
        </w:rPr>
        <w:t>5. First-Time Buyer Assistance (FLISP / First Home Finance)</w:t>
      </w:r>
    </w:p>
    <w:p w14:paraId="31348835" w14:textId="77777777" w:rsidR="00525B77" w:rsidRPr="00525B77" w:rsidRDefault="00525B77" w:rsidP="00525B77">
      <w:r w:rsidRPr="00525B77">
        <w:t xml:space="preserve">If you earn between </w:t>
      </w:r>
      <w:r w:rsidRPr="00525B77">
        <w:rPr>
          <w:b/>
          <w:bCs/>
        </w:rPr>
        <w:t>R3,501 and R22,000</w:t>
      </w:r>
      <w:r w:rsidRPr="00525B77">
        <w:t xml:space="preserve"> per month, you may qualify for a government subsidy called "First Home Finance" (formerly FLISP).</w:t>
      </w:r>
    </w:p>
    <w:p w14:paraId="475A2981" w14:textId="77777777" w:rsidR="00525B77" w:rsidRPr="00525B77" w:rsidRDefault="00525B77" w:rsidP="00525B77">
      <w:pPr>
        <w:numPr>
          <w:ilvl w:val="0"/>
          <w:numId w:val="8"/>
        </w:numPr>
      </w:pPr>
      <w:r w:rsidRPr="00525B77">
        <w:rPr>
          <w:b/>
          <w:bCs/>
        </w:rPr>
        <w:t>Benefit:</w:t>
      </w:r>
      <w:r w:rsidRPr="00525B77">
        <w:t xml:space="preserve"> A once-off cash payment (ranging from ~R30k to ~R130k) to reduce your bond or pay your deposit.</w:t>
      </w:r>
    </w:p>
    <w:p w14:paraId="68F701F1" w14:textId="77777777" w:rsidR="00525B77" w:rsidRPr="00525B77" w:rsidRDefault="00525B77" w:rsidP="00525B77">
      <w:pPr>
        <w:numPr>
          <w:ilvl w:val="0"/>
          <w:numId w:val="8"/>
        </w:numPr>
      </w:pPr>
      <w:r w:rsidRPr="00525B77">
        <w:rPr>
          <w:b/>
          <w:bCs/>
        </w:rPr>
        <w:t>Requirement:</w:t>
      </w:r>
      <w:r w:rsidRPr="00525B77">
        <w:t xml:space="preserve"> You must have a bond approved by a bank first, or an unsecured loan for building.</w:t>
      </w:r>
    </w:p>
    <w:p w14:paraId="671270B6" w14:textId="77777777" w:rsidR="00525B77" w:rsidRPr="00525B77" w:rsidRDefault="00525B77" w:rsidP="00525B77">
      <w:r w:rsidRPr="00525B77">
        <w:pict w14:anchorId="55A326BC">
          <v:rect id="_x0000_i1029" style="width:0;height:1.5pt" o:hralign="center" o:hrstd="t" o:hrnoshade="t" o:hr="t" fillcolor="gray" stroked="f"/>
        </w:pict>
      </w:r>
    </w:p>
    <w:p w14:paraId="497AE11D" w14:textId="77777777" w:rsidR="00525B77" w:rsidRPr="00525B77" w:rsidRDefault="00525B77" w:rsidP="00525B77">
      <w:pPr>
        <w:rPr>
          <w:b/>
          <w:bCs/>
        </w:rPr>
      </w:pPr>
      <w:r w:rsidRPr="00525B77">
        <w:rPr>
          <w:b/>
          <w:bCs/>
        </w:rPr>
        <w:t>6. Frequently Asked Questions (FAQs)</w:t>
      </w:r>
    </w:p>
    <w:p w14:paraId="0A1AFE10" w14:textId="77777777" w:rsidR="00525B77" w:rsidRPr="00525B77" w:rsidRDefault="00525B77" w:rsidP="00525B77">
      <w:r w:rsidRPr="00525B77">
        <w:rPr>
          <w:b/>
          <w:bCs/>
        </w:rPr>
        <w:t>Q: What is the difference between the Interest Rate and the Prime Rate?</w:t>
      </w:r>
    </w:p>
    <w:p w14:paraId="11B7A7B5" w14:textId="77777777" w:rsidR="009E19DF" w:rsidRPr="009E19DF" w:rsidRDefault="00525B77" w:rsidP="009E19DF">
      <w:pPr>
        <w:numPr>
          <w:ilvl w:val="0"/>
          <w:numId w:val="9"/>
        </w:numPr>
        <w:rPr>
          <w:lang w:val="de-DE"/>
        </w:rPr>
      </w:pPr>
      <w:r w:rsidRPr="00525B77">
        <w:rPr>
          <w:b/>
          <w:bCs/>
        </w:rPr>
        <w:t xml:space="preserve">Prime Rate </w:t>
      </w:r>
      <w:r w:rsidRPr="00525B77">
        <w:rPr>
          <w:b/>
          <w:bCs/>
          <w:color w:val="EE0000"/>
        </w:rPr>
        <w:t>(10.25%):</w:t>
      </w:r>
      <w:r w:rsidRPr="00525B77">
        <w:rPr>
          <w:color w:val="EE0000"/>
        </w:rPr>
        <w:t xml:space="preserve"> </w:t>
      </w:r>
      <w:r w:rsidRPr="00525B77">
        <w:t>The benchmark rate banks use as a starting point.</w:t>
      </w:r>
      <w:r w:rsidR="009E19DF" w:rsidRPr="009E19DF">
        <w:rPr>
          <w:color w:val="EE0000"/>
        </w:rPr>
        <w:t xml:space="preserve"> </w:t>
      </w:r>
    </w:p>
    <w:p w14:paraId="645848D9" w14:textId="5672EB3F" w:rsidR="009E19DF" w:rsidRPr="00525B77" w:rsidRDefault="009E19DF" w:rsidP="009E19DF">
      <w:pPr>
        <w:ind w:left="720"/>
        <w:rPr>
          <w:color w:val="EE0000"/>
          <w:lang w:val="de-DE"/>
        </w:rPr>
      </w:pPr>
      <w:r w:rsidRPr="009E19DF">
        <w:rPr>
          <w:color w:val="EE0000"/>
          <w:lang w:val="de-DE"/>
        </w:rPr>
        <w:t>KAN ONS HIER BY DIE PERSENTASIE DIT SO MAAK DAT DIT VAN DIE RESERWE BANK SE LINK DEURTREK?</w:t>
      </w:r>
    </w:p>
    <w:p w14:paraId="0E3D71D2" w14:textId="77777777" w:rsidR="00525B77" w:rsidRDefault="00525B77" w:rsidP="00525B77">
      <w:pPr>
        <w:numPr>
          <w:ilvl w:val="0"/>
          <w:numId w:val="9"/>
        </w:numPr>
      </w:pPr>
      <w:r w:rsidRPr="00525B77">
        <w:rPr>
          <w:b/>
          <w:bCs/>
        </w:rPr>
        <w:t>Your Rate:</w:t>
      </w:r>
      <w:r w:rsidRPr="00525B77">
        <w:t xml:space="preserve"> The personalized rate the bank gives you based on risk. Low risk might get "Prime minus 1%" (9.25%), while higher risk might get "Prime plus 2%" (12.25%).</w:t>
      </w:r>
    </w:p>
    <w:p w14:paraId="79AFF6DD" w14:textId="77777777" w:rsidR="009E19DF" w:rsidRDefault="009E19DF" w:rsidP="009E19DF"/>
    <w:p w14:paraId="4DD8FEA9" w14:textId="77777777" w:rsidR="009E19DF" w:rsidRDefault="009E19DF" w:rsidP="009E19DF"/>
    <w:p w14:paraId="7964C0FF" w14:textId="77777777" w:rsidR="009E19DF" w:rsidRPr="00525B77" w:rsidRDefault="009E19DF" w:rsidP="009E19DF"/>
    <w:p w14:paraId="66445037" w14:textId="77777777" w:rsidR="00525B77" w:rsidRPr="00525B77" w:rsidRDefault="00525B77" w:rsidP="00525B77">
      <w:pPr>
        <w:rPr>
          <w:b/>
          <w:bCs/>
        </w:rPr>
      </w:pPr>
      <w:r w:rsidRPr="00525B77">
        <w:rPr>
          <w:b/>
          <w:bCs/>
        </w:rPr>
        <w:lastRenderedPageBreak/>
        <w:t>Q: Can I apply for a 100% bond (no deposit)?</w:t>
      </w:r>
    </w:p>
    <w:p w14:paraId="65C64065" w14:textId="77777777" w:rsidR="00525B77" w:rsidRPr="00525B77" w:rsidRDefault="00525B77" w:rsidP="00525B77">
      <w:r w:rsidRPr="00525B77">
        <w:t>Yes. Banks are currently aggressive in lending to first-time buyers and often grant 100% bonds. However, putting down a deposit (even 5-10%) significantly improves your chances of getting a lower interest rate.</w:t>
      </w:r>
    </w:p>
    <w:p w14:paraId="01A14A8C" w14:textId="77777777" w:rsidR="00525B77" w:rsidRPr="00525B77" w:rsidRDefault="00525B77" w:rsidP="00525B77">
      <w:pPr>
        <w:rPr>
          <w:b/>
          <w:bCs/>
        </w:rPr>
      </w:pPr>
      <w:r w:rsidRPr="00525B77">
        <w:rPr>
          <w:b/>
          <w:bCs/>
        </w:rPr>
        <w:t>Q: How long does the whole process take?</w:t>
      </w:r>
    </w:p>
    <w:p w14:paraId="23B586E5" w14:textId="77777777" w:rsidR="00525B77" w:rsidRPr="00525B77" w:rsidRDefault="00525B77" w:rsidP="00525B77">
      <w:r w:rsidRPr="00525B77">
        <w:t xml:space="preserve">From the day your bond is approved to the day you get the </w:t>
      </w:r>
      <w:proofErr w:type="gramStart"/>
      <w:r w:rsidRPr="00525B77">
        <w:t>keys,</w:t>
      </w:r>
      <w:proofErr w:type="gramEnd"/>
      <w:r w:rsidRPr="00525B77">
        <w:t xml:space="preserve"> it typically takes 8 to 12 weeks. Delays at the Deeds Office or with obtaining Rates Clearance Certificates from the municipality can extend this.</w:t>
      </w:r>
    </w:p>
    <w:p w14:paraId="0604D537" w14:textId="77777777" w:rsidR="00525B77" w:rsidRPr="00525B77" w:rsidRDefault="00525B77" w:rsidP="00525B77">
      <w:pPr>
        <w:rPr>
          <w:b/>
          <w:bCs/>
        </w:rPr>
      </w:pPr>
      <w:r w:rsidRPr="00525B77">
        <w:rPr>
          <w:b/>
          <w:bCs/>
        </w:rPr>
        <w:t>Q: What happens if I lose my job before registration?</w:t>
      </w:r>
    </w:p>
    <w:p w14:paraId="02744BAE" w14:textId="77777777" w:rsidR="00525B77" w:rsidRPr="00525B77" w:rsidRDefault="00525B77" w:rsidP="00525B77">
      <w:r w:rsidRPr="00525B77">
        <w:t>Technically, the bank reserves the right to withdraw the bond grant up until the day of registration if your financial circumstances change materially. Do not take on new debt (like buying a car) during the transfer process.</w:t>
      </w:r>
    </w:p>
    <w:p w14:paraId="4287FFE1" w14:textId="77777777" w:rsidR="00525B77" w:rsidRPr="00525B77" w:rsidRDefault="00525B77" w:rsidP="00525B77">
      <w:pPr>
        <w:rPr>
          <w:b/>
          <w:bCs/>
        </w:rPr>
      </w:pPr>
      <w:r w:rsidRPr="00525B77">
        <w:rPr>
          <w:b/>
          <w:bCs/>
        </w:rPr>
        <w:t>Q: What is the "cooling-off" period?</w:t>
      </w:r>
    </w:p>
    <w:p w14:paraId="76703CA2" w14:textId="77777777" w:rsidR="00525B77" w:rsidRPr="00525B77" w:rsidRDefault="00525B77" w:rsidP="00525B77">
      <w:r w:rsidRPr="00525B77">
        <w:t>If you buy a property for under R250,000, you have a 5-day cooling-off period to cancel the deal. For properties above this amount, the Offer to Purchase is binding immediately upon signature—there is no cooling-off period for standard residential sales.</w:t>
      </w:r>
    </w:p>
    <w:p w14:paraId="4AD2FC80" w14:textId="77777777" w:rsidR="00525B77" w:rsidRPr="00525B77" w:rsidRDefault="00525B77" w:rsidP="00525B77">
      <w:pPr>
        <w:rPr>
          <w:b/>
          <w:bCs/>
        </w:rPr>
      </w:pPr>
      <w:r w:rsidRPr="00525B77">
        <w:rPr>
          <w:b/>
          <w:bCs/>
        </w:rPr>
        <w:t>Q: Can I pay my bond off faster?</w:t>
      </w:r>
    </w:p>
    <w:p w14:paraId="1B2D98D6" w14:textId="77777777" w:rsidR="00525B77" w:rsidRPr="00525B77" w:rsidRDefault="00525B77" w:rsidP="00525B77">
      <w:r w:rsidRPr="00525B77">
        <w:t>Absolutely. Any extra money paid into your bond goes directly to the capital. Paying just R500 extra per month can cut years off your loan term and save you hundreds of thousands in interest.</w:t>
      </w:r>
    </w:p>
    <w:p w14:paraId="044A2B69" w14:textId="77777777" w:rsidR="00525B77" w:rsidRDefault="00525B77"/>
    <w:sectPr w:rsidR="00525B77" w:rsidSect="009E19D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3F45F2"/>
    <w:multiLevelType w:val="multilevel"/>
    <w:tmpl w:val="39168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707580"/>
    <w:multiLevelType w:val="multilevel"/>
    <w:tmpl w:val="18BC4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F8369F"/>
    <w:multiLevelType w:val="multilevel"/>
    <w:tmpl w:val="431E5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55679BE"/>
    <w:multiLevelType w:val="multilevel"/>
    <w:tmpl w:val="63C4D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CF7AE2"/>
    <w:multiLevelType w:val="multilevel"/>
    <w:tmpl w:val="21C293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4271CC"/>
    <w:multiLevelType w:val="multilevel"/>
    <w:tmpl w:val="FE7EF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9C7424"/>
    <w:multiLevelType w:val="multilevel"/>
    <w:tmpl w:val="B51A5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AC5EFA"/>
    <w:multiLevelType w:val="multilevel"/>
    <w:tmpl w:val="C79C3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4D6C3D"/>
    <w:multiLevelType w:val="multilevel"/>
    <w:tmpl w:val="70BC7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5663334">
    <w:abstractNumId w:val="8"/>
  </w:num>
  <w:num w:numId="2" w16cid:durableId="1591817781">
    <w:abstractNumId w:val="5"/>
  </w:num>
  <w:num w:numId="3" w16cid:durableId="742144079">
    <w:abstractNumId w:val="0"/>
  </w:num>
  <w:num w:numId="4" w16cid:durableId="1323311728">
    <w:abstractNumId w:val="7"/>
  </w:num>
  <w:num w:numId="5" w16cid:durableId="85738652">
    <w:abstractNumId w:val="2"/>
  </w:num>
  <w:num w:numId="6" w16cid:durableId="161284581">
    <w:abstractNumId w:val="3"/>
  </w:num>
  <w:num w:numId="7" w16cid:durableId="878738085">
    <w:abstractNumId w:val="4"/>
  </w:num>
  <w:num w:numId="8" w16cid:durableId="1047140162">
    <w:abstractNumId w:val="1"/>
  </w:num>
  <w:num w:numId="9" w16cid:durableId="8859184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B77"/>
    <w:rsid w:val="00525B77"/>
    <w:rsid w:val="009E19DF"/>
    <w:rsid w:val="00EB1CD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954F7"/>
  <w15:chartTrackingRefBased/>
  <w15:docId w15:val="{0DFDADDC-6CFC-4E05-B5DD-59C831A1A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B77"/>
  </w:style>
  <w:style w:type="paragraph" w:styleId="Heading1">
    <w:name w:val="heading 1"/>
    <w:basedOn w:val="Normal"/>
    <w:next w:val="Normal"/>
    <w:link w:val="Heading1Char"/>
    <w:uiPriority w:val="9"/>
    <w:qFormat/>
    <w:rsid w:val="00525B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5B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5B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5B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5B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5B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5B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5B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5B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5B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5B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5B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5B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5B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5B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5B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5B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5B77"/>
    <w:rPr>
      <w:rFonts w:eastAsiaTheme="majorEastAsia" w:cstheme="majorBidi"/>
      <w:color w:val="272727" w:themeColor="text1" w:themeTint="D8"/>
    </w:rPr>
  </w:style>
  <w:style w:type="paragraph" w:styleId="Title">
    <w:name w:val="Title"/>
    <w:basedOn w:val="Normal"/>
    <w:next w:val="Normal"/>
    <w:link w:val="TitleChar"/>
    <w:uiPriority w:val="10"/>
    <w:qFormat/>
    <w:rsid w:val="00525B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5B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5B77"/>
    <w:pPr>
      <w:numPr>
        <w:ilvl w:val="1"/>
      </w:numPr>
    </w:pPr>
    <w:rPr>
      <w:rFonts w:eastAsiaTheme="majorEastAsia" w:cstheme="majorBidi"/>
      <w:color w:val="000000" w:themeColor="text1"/>
      <w:spacing w:val="15"/>
      <w:sz w:val="28"/>
      <w:szCs w:val="28"/>
    </w:rPr>
  </w:style>
  <w:style w:type="character" w:customStyle="1" w:styleId="SubtitleChar">
    <w:name w:val="Subtitle Char"/>
    <w:basedOn w:val="DefaultParagraphFont"/>
    <w:link w:val="Subtitle"/>
    <w:uiPriority w:val="11"/>
    <w:rsid w:val="00525B77"/>
    <w:rPr>
      <w:rFonts w:eastAsiaTheme="majorEastAsia" w:cstheme="majorBidi"/>
      <w:color w:val="000000" w:themeColor="text1"/>
      <w:spacing w:val="15"/>
      <w:sz w:val="28"/>
      <w:szCs w:val="28"/>
    </w:rPr>
  </w:style>
  <w:style w:type="paragraph" w:styleId="Quote">
    <w:name w:val="Quote"/>
    <w:basedOn w:val="Normal"/>
    <w:next w:val="Normal"/>
    <w:link w:val="QuoteChar"/>
    <w:uiPriority w:val="29"/>
    <w:qFormat/>
    <w:rsid w:val="00525B77"/>
    <w:pPr>
      <w:spacing w:before="160"/>
      <w:jc w:val="center"/>
    </w:pPr>
    <w:rPr>
      <w:i/>
      <w:iCs/>
      <w:color w:val="000000" w:themeColor="text1"/>
    </w:rPr>
  </w:style>
  <w:style w:type="character" w:customStyle="1" w:styleId="QuoteChar">
    <w:name w:val="Quote Char"/>
    <w:basedOn w:val="DefaultParagraphFont"/>
    <w:link w:val="Quote"/>
    <w:uiPriority w:val="29"/>
    <w:rsid w:val="00525B77"/>
    <w:rPr>
      <w:i/>
      <w:iCs/>
      <w:color w:val="000000" w:themeColor="text1"/>
    </w:rPr>
  </w:style>
  <w:style w:type="paragraph" w:styleId="ListParagraph">
    <w:name w:val="List Paragraph"/>
    <w:basedOn w:val="Normal"/>
    <w:uiPriority w:val="34"/>
    <w:qFormat/>
    <w:rsid w:val="00525B77"/>
    <w:pPr>
      <w:ind w:left="720"/>
      <w:contextualSpacing/>
    </w:pPr>
  </w:style>
  <w:style w:type="character" w:styleId="IntenseEmphasis">
    <w:name w:val="Intense Emphasis"/>
    <w:basedOn w:val="DefaultParagraphFont"/>
    <w:uiPriority w:val="21"/>
    <w:qFormat/>
    <w:rsid w:val="00525B77"/>
    <w:rPr>
      <w:i/>
      <w:iCs/>
      <w:color w:val="0F4761" w:themeColor="accent1" w:themeShade="BF"/>
    </w:rPr>
  </w:style>
  <w:style w:type="paragraph" w:styleId="IntenseQuote">
    <w:name w:val="Intense Quote"/>
    <w:basedOn w:val="Normal"/>
    <w:next w:val="Normal"/>
    <w:link w:val="IntenseQuoteChar"/>
    <w:uiPriority w:val="30"/>
    <w:qFormat/>
    <w:rsid w:val="00525B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5B77"/>
    <w:rPr>
      <w:i/>
      <w:iCs/>
      <w:color w:val="0F4761" w:themeColor="accent1" w:themeShade="BF"/>
    </w:rPr>
  </w:style>
  <w:style w:type="character" w:styleId="IntenseReference">
    <w:name w:val="Intense Reference"/>
    <w:basedOn w:val="DefaultParagraphFont"/>
    <w:uiPriority w:val="32"/>
    <w:qFormat/>
    <w:rsid w:val="00525B7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794</Words>
  <Characters>4530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 Prop</dc:creator>
  <cp:keywords/>
  <dc:description/>
  <cp:lastModifiedBy>Re Prop</cp:lastModifiedBy>
  <cp:revision>1</cp:revision>
  <dcterms:created xsi:type="dcterms:W3CDTF">2025-11-21T13:56:00Z</dcterms:created>
  <dcterms:modified xsi:type="dcterms:W3CDTF">2025-11-21T14:13:00Z</dcterms:modified>
</cp:coreProperties>
</file>