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32DB" w14:textId="77777777" w:rsidR="002C7AE7" w:rsidRPr="002C7AE7" w:rsidRDefault="002C7AE7" w:rsidP="002C7AE7">
      <w:pPr>
        <w:jc w:val="center"/>
        <w:rPr>
          <w:rFonts w:ascii="Arial" w:eastAsia="Times New Roman" w:hAnsi="Arial" w:cs="Arial"/>
          <w:b/>
          <w:bCs/>
          <w:color w:val="1B1C1D"/>
          <w:kern w:val="0"/>
          <w:sz w:val="32"/>
          <w:szCs w:val="32"/>
          <w:lang w:eastAsia="en-ZA"/>
          <w14:ligatures w14:val="none"/>
        </w:rPr>
      </w:pPr>
      <w:r w:rsidRPr="002C7AE7">
        <w:rPr>
          <w:rFonts w:ascii="Arial" w:eastAsia="Times New Roman" w:hAnsi="Arial" w:cs="Arial"/>
          <w:b/>
          <w:bCs/>
          <w:color w:val="1B1C1D"/>
          <w:kern w:val="0"/>
          <w:sz w:val="32"/>
          <w:szCs w:val="32"/>
          <w:lang w:eastAsia="en-ZA"/>
          <w14:ligatures w14:val="none"/>
        </w:rPr>
        <w:t>Seller’s Guide to Immovable Property</w:t>
      </w:r>
    </w:p>
    <w:p w14:paraId="49CA110C"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1. Introduction</w:t>
      </w:r>
    </w:p>
    <w:p w14:paraId="67FCE7E0" w14:textId="2275E346"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Selling a property is a significant financial transaction. This guide assists sellers in navigating the legal process, understanding their financial obligations, and ensuring compliance with the </w:t>
      </w:r>
      <w:r w:rsidRPr="002C7AE7">
        <w:rPr>
          <w:rFonts w:ascii="Arial" w:eastAsia="Times New Roman" w:hAnsi="Arial" w:cs="Arial"/>
          <w:i/>
          <w:iCs/>
          <w:color w:val="1B1C1D"/>
          <w:kern w:val="0"/>
          <w:lang w:eastAsia="en-ZA"/>
          <w14:ligatures w14:val="none"/>
        </w:rPr>
        <w:t>Property Practitioners Act</w:t>
      </w:r>
      <w:r w:rsidRPr="002C7AE7">
        <w:rPr>
          <w:rFonts w:ascii="Arial" w:eastAsia="Times New Roman" w:hAnsi="Arial" w:cs="Arial"/>
          <w:color w:val="1B1C1D"/>
          <w:kern w:val="0"/>
          <w:lang w:eastAsia="en-ZA"/>
          <w14:ligatures w14:val="none"/>
        </w:rPr>
        <w:t xml:space="preserve"> (PPA) and </w:t>
      </w:r>
      <w:r w:rsidRPr="002C7AE7">
        <w:rPr>
          <w:rFonts w:ascii="Arial" w:eastAsia="Times New Roman" w:hAnsi="Arial" w:cs="Arial"/>
          <w:i/>
          <w:iCs/>
          <w:color w:val="1B1C1D"/>
          <w:kern w:val="0"/>
          <w:lang w:eastAsia="en-ZA"/>
          <w14:ligatures w14:val="none"/>
        </w:rPr>
        <w:t>Consumer Protection Act</w:t>
      </w:r>
      <w:r w:rsidRPr="002C7AE7">
        <w:rPr>
          <w:rFonts w:ascii="Arial" w:eastAsia="Times New Roman" w:hAnsi="Arial" w:cs="Arial"/>
          <w:color w:val="1B1C1D"/>
          <w:kern w:val="0"/>
          <w:lang w:eastAsia="en-ZA"/>
          <w14:ligatures w14:val="none"/>
        </w:rPr>
        <w:t xml:space="preserve"> (CPA).</w:t>
      </w:r>
    </w:p>
    <w:p w14:paraId="6C587981" w14:textId="1F9CC1FC"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Note:</w:t>
      </w:r>
      <w:r w:rsidRPr="002C7AE7">
        <w:rPr>
          <w:rFonts w:ascii="Arial" w:eastAsia="Times New Roman" w:hAnsi="Arial" w:cs="Arial"/>
          <w:color w:val="1B1C1D"/>
          <w:kern w:val="0"/>
          <w:lang w:eastAsia="en-ZA"/>
          <w14:ligatures w14:val="none"/>
        </w:rPr>
        <w:t xml:space="preserve"> This guide provides general legal information and should not be construed as specific legal advice for your transaction.</w:t>
      </w:r>
    </w:p>
    <w:p w14:paraId="193A30BE"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6784A81E">
          <v:rect id="_x0000_i1068" style="width:0;height:1.5pt" o:hralign="center" o:hrstd="t" o:hrnoshade="t" o:hr="t" fillcolor="gray" stroked="f"/>
        </w:pict>
      </w:r>
    </w:p>
    <w:p w14:paraId="686CABA2"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2. The Estate Agent &amp; The Mandate</w:t>
      </w:r>
    </w:p>
    <w:p w14:paraId="2C01520D"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Choosing the right professional to market your property is the first step.</w:t>
      </w:r>
    </w:p>
    <w:p w14:paraId="49B57B4A"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The Fidelity Fund Certificate (FFC)</w:t>
      </w:r>
    </w:p>
    <w:p w14:paraId="5247930F" w14:textId="5BCA93F2" w:rsidR="002C7AE7" w:rsidRPr="002C7AE7" w:rsidRDefault="002C7AE7" w:rsidP="002C7AE7">
      <w:pPr>
        <w:numPr>
          <w:ilvl w:val="0"/>
          <w:numId w:val="21"/>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Requirement:</w:t>
      </w:r>
      <w:r w:rsidRPr="002C7AE7">
        <w:rPr>
          <w:rFonts w:ascii="Arial" w:eastAsia="Times New Roman" w:hAnsi="Arial" w:cs="Arial"/>
          <w:color w:val="1B1C1D"/>
          <w:kern w:val="0"/>
          <w:lang w:eastAsia="en-ZA"/>
          <w14:ligatures w14:val="none"/>
        </w:rPr>
        <w:t xml:space="preserve"> Every estate agent and agency must hold a valid Fidelity Fund Certificate (FFC) issued by the PPRA.</w:t>
      </w:r>
    </w:p>
    <w:p w14:paraId="1EE183BD" w14:textId="059A9BFC" w:rsidR="002C7AE7" w:rsidRPr="002C7AE7" w:rsidRDefault="002C7AE7" w:rsidP="002C7AE7">
      <w:pPr>
        <w:numPr>
          <w:ilvl w:val="0"/>
          <w:numId w:val="21"/>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Your Right:</w:t>
      </w:r>
      <w:r w:rsidRPr="002C7AE7">
        <w:rPr>
          <w:rFonts w:ascii="Arial" w:eastAsia="Times New Roman" w:hAnsi="Arial" w:cs="Arial"/>
          <w:color w:val="1B1C1D"/>
          <w:kern w:val="0"/>
          <w:lang w:eastAsia="en-ZA"/>
          <w14:ligatures w14:val="none"/>
        </w:rPr>
        <w:t xml:space="preserve"> You have the right to request to see the agent’s FFC. If they do not have one, they are not legally entitled to earn commission, and you should not do business with them.</w:t>
      </w:r>
    </w:p>
    <w:p w14:paraId="4C87A29B"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Types of Mandates</w:t>
      </w:r>
    </w:p>
    <w:p w14:paraId="0A75EFF3" w14:textId="175EC9B2"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A mandate is the instruction you give to an agent to sell your home. It should always be in writing.</w:t>
      </w:r>
    </w:p>
    <w:p w14:paraId="6982F65F" w14:textId="2A6C7F84" w:rsidR="002C7AE7" w:rsidRPr="002C7AE7" w:rsidRDefault="002C7AE7" w:rsidP="002C7AE7">
      <w:pPr>
        <w:numPr>
          <w:ilvl w:val="0"/>
          <w:numId w:val="22"/>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Open Mandate:</w:t>
      </w:r>
      <w:r w:rsidRPr="002C7AE7">
        <w:rPr>
          <w:rFonts w:ascii="Arial" w:eastAsia="Times New Roman" w:hAnsi="Arial" w:cs="Arial"/>
          <w:color w:val="1B1C1D"/>
          <w:kern w:val="0"/>
          <w:lang w:eastAsia="en-ZA"/>
          <w14:ligatures w14:val="none"/>
        </w:rPr>
        <w:t xml:space="preserve"> You allow multiple agencies to market the property. You only pay the agent who effectively causes the sale.</w:t>
      </w:r>
    </w:p>
    <w:p w14:paraId="60328416" w14:textId="132C7EFA" w:rsidR="002C7AE7" w:rsidRPr="002C7AE7" w:rsidRDefault="002C7AE7" w:rsidP="002C7AE7">
      <w:pPr>
        <w:numPr>
          <w:ilvl w:val="0"/>
          <w:numId w:val="22"/>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Sole Mandate:</w:t>
      </w:r>
      <w:r w:rsidRPr="002C7AE7">
        <w:rPr>
          <w:rFonts w:ascii="Arial" w:eastAsia="Times New Roman" w:hAnsi="Arial" w:cs="Arial"/>
          <w:color w:val="1B1C1D"/>
          <w:kern w:val="0"/>
          <w:lang w:eastAsia="en-ZA"/>
          <w14:ligatures w14:val="none"/>
        </w:rPr>
        <w:t xml:space="preserve"> You grant </w:t>
      </w:r>
      <w:r w:rsidRPr="002C7AE7">
        <w:rPr>
          <w:rFonts w:ascii="Arial" w:eastAsia="Times New Roman" w:hAnsi="Arial" w:cs="Arial"/>
          <w:i/>
          <w:iCs/>
          <w:color w:val="1B1C1D"/>
          <w:kern w:val="0"/>
          <w:lang w:eastAsia="en-ZA"/>
          <w14:ligatures w14:val="none"/>
        </w:rPr>
        <w:t>one</w:t>
      </w:r>
      <w:r w:rsidRPr="002C7AE7">
        <w:rPr>
          <w:rFonts w:ascii="Arial" w:eastAsia="Times New Roman" w:hAnsi="Arial" w:cs="Arial"/>
          <w:color w:val="1B1C1D"/>
          <w:kern w:val="0"/>
          <w:lang w:eastAsia="en-ZA"/>
          <w14:ligatures w14:val="none"/>
        </w:rPr>
        <w:t xml:space="preserve"> agency the right to market the property for a specific period. If another agent sells it during this time, you may still be liable to pay the sole agent commission.</w:t>
      </w:r>
    </w:p>
    <w:p w14:paraId="0D021736" w14:textId="2D10067A" w:rsidR="002C7AE7" w:rsidRPr="002C7AE7" w:rsidRDefault="002C7AE7" w:rsidP="002C7AE7">
      <w:pPr>
        <w:numPr>
          <w:ilvl w:val="0"/>
          <w:numId w:val="22"/>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Exclusive Mandate:</w:t>
      </w:r>
      <w:r w:rsidRPr="002C7AE7">
        <w:rPr>
          <w:rFonts w:ascii="Arial" w:eastAsia="Times New Roman" w:hAnsi="Arial" w:cs="Arial"/>
          <w:color w:val="1B1C1D"/>
          <w:kern w:val="0"/>
          <w:lang w:eastAsia="en-ZA"/>
          <w14:ligatures w14:val="none"/>
        </w:rPr>
        <w:t xml:space="preserve"> </w:t>
      </w:r>
      <w:proofErr w:type="gramStart"/>
      <w:r w:rsidRPr="002C7AE7">
        <w:rPr>
          <w:rFonts w:ascii="Arial" w:eastAsia="Times New Roman" w:hAnsi="Arial" w:cs="Arial"/>
          <w:color w:val="1B1C1D"/>
          <w:kern w:val="0"/>
          <w:lang w:eastAsia="en-ZA"/>
          <w14:ligatures w14:val="none"/>
        </w:rPr>
        <w:t>Similar to</w:t>
      </w:r>
      <w:proofErr w:type="gramEnd"/>
      <w:r w:rsidRPr="002C7AE7">
        <w:rPr>
          <w:rFonts w:ascii="Arial" w:eastAsia="Times New Roman" w:hAnsi="Arial" w:cs="Arial"/>
          <w:color w:val="1B1C1D"/>
          <w:kern w:val="0"/>
          <w:lang w:eastAsia="en-ZA"/>
          <w14:ligatures w14:val="none"/>
        </w:rPr>
        <w:t xml:space="preserve"> a sole mandate, but you (the seller) are also restricted from selling the property yourself privately.</w:t>
      </w:r>
    </w:p>
    <w:p w14:paraId="24413694" w14:textId="41DEC42F" w:rsid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Warning – Double Commission:</w:t>
      </w:r>
      <w:r w:rsidRPr="002C7AE7">
        <w:rPr>
          <w:rFonts w:ascii="Arial" w:eastAsia="Times New Roman" w:hAnsi="Arial" w:cs="Arial"/>
          <w:color w:val="1B1C1D"/>
          <w:kern w:val="0"/>
          <w:lang w:eastAsia="en-ZA"/>
          <w14:ligatures w14:val="none"/>
        </w:rPr>
        <w:t xml:space="preserve"> If you have multiple agents working on your property (Open Mandate), be careful. If Agent A introduces a buyer, but Agent B closes the deal with that same buyer, both may claim commission. Always disclose to agents if a buyer has viewed the property before.</w:t>
      </w:r>
    </w:p>
    <w:p w14:paraId="74D79BF0"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6732629C">
          <v:rect id="_x0000_i1069" style="width:0;height:1.5pt" o:hralign="center" o:hrstd="t" o:hrnoshade="t" o:hr="t" fillcolor="gray" stroked="f"/>
        </w:pict>
      </w:r>
    </w:p>
    <w:p w14:paraId="7FF6E1B3" w14:textId="77777777" w:rsidR="002C7AE7" w:rsidRDefault="002C7AE7" w:rsidP="002C7AE7">
      <w:pPr>
        <w:rPr>
          <w:rFonts w:ascii="Arial" w:eastAsia="Times New Roman" w:hAnsi="Arial" w:cs="Arial"/>
          <w:b/>
          <w:bCs/>
          <w:color w:val="1B1C1D"/>
          <w:kern w:val="0"/>
          <w:lang w:eastAsia="en-ZA"/>
          <w14:ligatures w14:val="none"/>
        </w:rPr>
      </w:pPr>
    </w:p>
    <w:p w14:paraId="7EE40CF7" w14:textId="77777777" w:rsidR="002C7AE7" w:rsidRDefault="002C7AE7" w:rsidP="002C7AE7">
      <w:pPr>
        <w:rPr>
          <w:rFonts w:ascii="Arial" w:eastAsia="Times New Roman" w:hAnsi="Arial" w:cs="Arial"/>
          <w:b/>
          <w:bCs/>
          <w:color w:val="1B1C1D"/>
          <w:kern w:val="0"/>
          <w:lang w:eastAsia="en-ZA"/>
          <w14:ligatures w14:val="none"/>
        </w:rPr>
      </w:pPr>
    </w:p>
    <w:p w14:paraId="0E862DAB" w14:textId="3D3D9759"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lastRenderedPageBreak/>
        <w:t>3. The Financials: Seller’s Costs</w:t>
      </w:r>
    </w:p>
    <w:p w14:paraId="4C92A6C1"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While the purchaser pays for the transfer fees, the seller is responsible for specific costs that must be paid </w:t>
      </w:r>
      <w:r w:rsidRPr="002C7AE7">
        <w:rPr>
          <w:rFonts w:ascii="Arial" w:eastAsia="Times New Roman" w:hAnsi="Arial" w:cs="Arial"/>
          <w:i/>
          <w:iCs/>
          <w:color w:val="1B1C1D"/>
          <w:kern w:val="0"/>
          <w:lang w:eastAsia="en-ZA"/>
          <w14:ligatures w14:val="none"/>
        </w:rPr>
        <w:t>before</w:t>
      </w:r>
      <w:r w:rsidRPr="002C7AE7">
        <w:rPr>
          <w:rFonts w:ascii="Arial" w:eastAsia="Times New Roman" w:hAnsi="Arial" w:cs="Arial"/>
          <w:color w:val="1B1C1D"/>
          <w:kern w:val="0"/>
          <w:lang w:eastAsia="en-ZA"/>
          <w14:ligatures w14:val="none"/>
        </w:rPr>
        <w:t xml:space="preserve"> registration</w:t>
      </w:r>
      <w:r w:rsidRPr="002C7AE7">
        <w:rPr>
          <w:rFonts w:ascii="Arial" w:eastAsia="Times New Roman" w:hAnsi="Arial" w:cs="Arial"/>
          <w:color w:val="1B1C1D"/>
          <w:kern w:val="0"/>
          <w:vertAlign w:val="superscript"/>
          <w:lang w:eastAsia="en-ZA"/>
          <w14:ligatures w14:val="none"/>
        </w:rPr>
        <w:t>10</w:t>
      </w:r>
      <w:r w:rsidRPr="002C7AE7">
        <w:rPr>
          <w:rFonts w:ascii="Arial" w:eastAsia="Times New Roman" w:hAnsi="Arial" w:cs="Arial"/>
          <w:color w:val="1B1C1D"/>
          <w:kern w:val="0"/>
          <w:lang w:eastAsia="en-ZA"/>
          <w14:ligatures w14:val="none"/>
        </w:rPr>
        <w:t>.</w:t>
      </w:r>
    </w:p>
    <w:p w14:paraId="31140558"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1. Bond Cancellation Costs</w:t>
      </w:r>
    </w:p>
    <w:p w14:paraId="681DC287" w14:textId="5B8EBBF2" w:rsidR="002C7AE7" w:rsidRPr="002C7AE7" w:rsidRDefault="002C7AE7" w:rsidP="002C7AE7">
      <w:pPr>
        <w:numPr>
          <w:ilvl w:val="0"/>
          <w:numId w:val="23"/>
        </w:num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Even if your bond is "paid up" or has a zero balance, it must be formally cancelled in the Deeds Office.</w:t>
      </w:r>
    </w:p>
    <w:p w14:paraId="58BCB2C5" w14:textId="10212643" w:rsidR="002C7AE7" w:rsidRPr="002C7AE7" w:rsidRDefault="002C7AE7" w:rsidP="002C7AE7">
      <w:pPr>
        <w:numPr>
          <w:ilvl w:val="0"/>
          <w:numId w:val="23"/>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Penalty Interest:</w:t>
      </w:r>
      <w:r w:rsidRPr="002C7AE7">
        <w:rPr>
          <w:rFonts w:ascii="Arial" w:eastAsia="Times New Roman" w:hAnsi="Arial" w:cs="Arial"/>
          <w:color w:val="1B1C1D"/>
          <w:kern w:val="0"/>
          <w:lang w:eastAsia="en-ZA"/>
          <w14:ligatures w14:val="none"/>
        </w:rPr>
        <w:t xml:space="preserve"> Banks are entitled to charge 90 days' penalty interest if you do not give them 90 days' written notice of your intention to cancel the bond.</w:t>
      </w:r>
    </w:p>
    <w:p w14:paraId="5A2327D3" w14:textId="4E3B91FD" w:rsidR="002C7AE7" w:rsidRPr="002C7AE7" w:rsidRDefault="002C7AE7" w:rsidP="002C7AE7">
      <w:pPr>
        <w:numPr>
          <w:ilvl w:val="0"/>
          <w:numId w:val="23"/>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Action:</w:t>
      </w:r>
      <w:r w:rsidRPr="002C7AE7">
        <w:rPr>
          <w:rFonts w:ascii="Arial" w:eastAsia="Times New Roman" w:hAnsi="Arial" w:cs="Arial"/>
          <w:color w:val="1B1C1D"/>
          <w:kern w:val="0"/>
          <w:lang w:eastAsia="en-ZA"/>
          <w14:ligatures w14:val="none"/>
        </w:rPr>
        <w:t xml:space="preserve"> Notify your bank immediately when you decide to sell to start this 90-day countdown.</w:t>
      </w:r>
    </w:p>
    <w:p w14:paraId="11BBB7F3"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2. Municipal &amp; Body Corporate Clearance</w:t>
      </w:r>
    </w:p>
    <w:p w14:paraId="698CA723" w14:textId="1A0DF68E" w:rsidR="002C7AE7" w:rsidRPr="002C7AE7" w:rsidRDefault="002C7AE7" w:rsidP="002C7AE7">
      <w:pPr>
        <w:numPr>
          <w:ilvl w:val="0"/>
          <w:numId w:val="24"/>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Rates &amp; Taxes:</w:t>
      </w:r>
      <w:r w:rsidRPr="002C7AE7">
        <w:rPr>
          <w:rFonts w:ascii="Arial" w:eastAsia="Times New Roman" w:hAnsi="Arial" w:cs="Arial"/>
          <w:color w:val="1B1C1D"/>
          <w:kern w:val="0"/>
          <w:lang w:eastAsia="en-ZA"/>
          <w14:ligatures w14:val="none"/>
        </w:rPr>
        <w:t xml:space="preserve"> You must pay rates and taxes roughly </w:t>
      </w:r>
      <w:r w:rsidRPr="002C7AE7">
        <w:rPr>
          <w:rFonts w:ascii="Arial" w:eastAsia="Times New Roman" w:hAnsi="Arial" w:cs="Arial"/>
          <w:b/>
          <w:bCs/>
          <w:color w:val="1B1C1D"/>
          <w:kern w:val="0"/>
          <w:lang w:eastAsia="en-ZA"/>
          <w14:ligatures w14:val="none"/>
        </w:rPr>
        <w:t>3 to 4 months in advance</w:t>
      </w:r>
      <w:r w:rsidRPr="002C7AE7">
        <w:rPr>
          <w:rFonts w:ascii="Arial" w:eastAsia="Times New Roman" w:hAnsi="Arial" w:cs="Arial"/>
          <w:color w:val="1B1C1D"/>
          <w:kern w:val="0"/>
          <w:lang w:eastAsia="en-ZA"/>
          <w14:ligatures w14:val="none"/>
        </w:rPr>
        <w:t xml:space="preserve"> to obtain a clearance certificate from the municipality.</w:t>
      </w:r>
    </w:p>
    <w:p w14:paraId="53F4DCF4" w14:textId="5270C7A0" w:rsidR="002C7AE7" w:rsidRPr="002C7AE7" w:rsidRDefault="002C7AE7" w:rsidP="002C7AE7">
      <w:pPr>
        <w:numPr>
          <w:ilvl w:val="0"/>
          <w:numId w:val="24"/>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Levies:</w:t>
      </w:r>
      <w:r w:rsidRPr="002C7AE7">
        <w:rPr>
          <w:rFonts w:ascii="Arial" w:eastAsia="Times New Roman" w:hAnsi="Arial" w:cs="Arial"/>
          <w:color w:val="1B1C1D"/>
          <w:kern w:val="0"/>
          <w:lang w:eastAsia="en-ZA"/>
          <w14:ligatures w14:val="none"/>
        </w:rPr>
        <w:t xml:space="preserve"> If you are in a Sectional Title or Estate, you must pay levies in advance to obtain a clearance certificate from the Body Corporate or HOA.</w:t>
      </w:r>
    </w:p>
    <w:p w14:paraId="73CD646A"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3. Compliance Certificates (COCs)</w:t>
      </w:r>
    </w:p>
    <w:p w14:paraId="2992264D" w14:textId="6780C2B3"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The seller is responsible for the cost of issuing the following certificates and any repairs required to obtain them:</w:t>
      </w:r>
    </w:p>
    <w:p w14:paraId="66D4321C" w14:textId="343758D3" w:rsidR="002C7AE7" w:rsidRPr="002C7AE7" w:rsidRDefault="002C7AE7" w:rsidP="002C7AE7">
      <w:pPr>
        <w:numPr>
          <w:ilvl w:val="0"/>
          <w:numId w:val="25"/>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Electrical COC:</w:t>
      </w:r>
      <w:r w:rsidRPr="002C7AE7">
        <w:rPr>
          <w:rFonts w:ascii="Arial" w:eastAsia="Times New Roman" w:hAnsi="Arial" w:cs="Arial"/>
          <w:color w:val="1B1C1D"/>
          <w:kern w:val="0"/>
          <w:lang w:eastAsia="en-ZA"/>
          <w14:ligatures w14:val="none"/>
        </w:rPr>
        <w:t xml:space="preserve"> Certifies the installation is safe. Valid for 2 years.</w:t>
      </w:r>
    </w:p>
    <w:p w14:paraId="759349B7" w14:textId="15361DF6" w:rsidR="002C7AE7" w:rsidRPr="002C7AE7" w:rsidRDefault="002C7AE7" w:rsidP="002C7AE7">
      <w:pPr>
        <w:numPr>
          <w:ilvl w:val="0"/>
          <w:numId w:val="25"/>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Electric Fence COC:</w:t>
      </w:r>
      <w:r w:rsidRPr="002C7AE7">
        <w:rPr>
          <w:rFonts w:ascii="Arial" w:eastAsia="Times New Roman" w:hAnsi="Arial" w:cs="Arial"/>
          <w:color w:val="1B1C1D"/>
          <w:kern w:val="0"/>
          <w:lang w:eastAsia="en-ZA"/>
          <w14:ligatures w14:val="none"/>
        </w:rPr>
        <w:t xml:space="preserve"> Required if you have an electric fence system.</w:t>
      </w:r>
    </w:p>
    <w:p w14:paraId="2E7FE0C0" w14:textId="708254BD" w:rsidR="002C7AE7" w:rsidRPr="002C7AE7" w:rsidRDefault="002C7AE7" w:rsidP="002C7AE7">
      <w:pPr>
        <w:numPr>
          <w:ilvl w:val="0"/>
          <w:numId w:val="25"/>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Gas Certificate:</w:t>
      </w:r>
      <w:r w:rsidRPr="002C7AE7">
        <w:rPr>
          <w:rFonts w:ascii="Arial" w:eastAsia="Times New Roman" w:hAnsi="Arial" w:cs="Arial"/>
          <w:color w:val="1B1C1D"/>
          <w:kern w:val="0"/>
          <w:lang w:eastAsia="en-ZA"/>
          <w14:ligatures w14:val="none"/>
        </w:rPr>
        <w:t xml:space="preserve"> Required for gas stoves, fireplaces, or geysers. A new certificate is required for every transfer.</w:t>
      </w:r>
    </w:p>
    <w:p w14:paraId="7ADDF58C" w14:textId="529E3185" w:rsidR="002C7AE7" w:rsidRPr="002C7AE7" w:rsidRDefault="002C7AE7" w:rsidP="002C7AE7">
      <w:pPr>
        <w:numPr>
          <w:ilvl w:val="0"/>
          <w:numId w:val="25"/>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Beetle Certificate:</w:t>
      </w:r>
      <w:r w:rsidRPr="002C7AE7">
        <w:rPr>
          <w:rFonts w:ascii="Arial" w:eastAsia="Times New Roman" w:hAnsi="Arial" w:cs="Arial"/>
          <w:color w:val="1B1C1D"/>
          <w:kern w:val="0"/>
          <w:lang w:eastAsia="en-ZA"/>
          <w14:ligatures w14:val="none"/>
        </w:rPr>
        <w:t xml:space="preserve"> (Coastal regions) Guarantees the absence of wood-boring beetles.</w:t>
      </w:r>
    </w:p>
    <w:p w14:paraId="3021E6DC" w14:textId="0E17EE29" w:rsidR="002C7AE7" w:rsidRPr="002C7AE7" w:rsidRDefault="002C7AE7" w:rsidP="002C7AE7">
      <w:pPr>
        <w:numPr>
          <w:ilvl w:val="0"/>
          <w:numId w:val="25"/>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Plumbing/Water Certificate:</w:t>
      </w:r>
      <w:r w:rsidRPr="002C7AE7">
        <w:rPr>
          <w:rFonts w:ascii="Arial" w:eastAsia="Times New Roman" w:hAnsi="Arial" w:cs="Arial"/>
          <w:color w:val="1B1C1D"/>
          <w:kern w:val="0"/>
          <w:lang w:eastAsia="en-ZA"/>
          <w14:ligatures w14:val="none"/>
        </w:rPr>
        <w:t xml:space="preserve"> (Cape Town only).</w:t>
      </w:r>
    </w:p>
    <w:p w14:paraId="1FA24816"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12FDE11A">
          <v:rect id="_x0000_i1070" style="width:0;height:1.5pt" o:hralign="center" o:hrstd="t" o:hrnoshade="t" o:hr="t" fillcolor="gray" stroked="f"/>
        </w:pict>
      </w:r>
    </w:p>
    <w:p w14:paraId="2FB43661"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4. The Offer to Purchase (OTP)</w:t>
      </w:r>
    </w:p>
    <w:p w14:paraId="2F96FE88" w14:textId="09CE4C56"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Once you accept an OTP in writing, it becomes a binding Purchase Agreement.</w:t>
      </w:r>
    </w:p>
    <w:p w14:paraId="4EAF7255"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Key Clauses</w:t>
      </w:r>
    </w:p>
    <w:p w14:paraId="3BC2194C" w14:textId="77777777" w:rsidR="002C7AE7" w:rsidRPr="002C7AE7" w:rsidRDefault="002C7AE7" w:rsidP="002C7AE7">
      <w:pPr>
        <w:numPr>
          <w:ilvl w:val="0"/>
          <w:numId w:val="26"/>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Fixtures vs. Fittings:</w:t>
      </w:r>
    </w:p>
    <w:p w14:paraId="20513A19" w14:textId="4A53295A" w:rsidR="002C7AE7" w:rsidRPr="002C7AE7" w:rsidRDefault="002C7AE7" w:rsidP="002C7AE7">
      <w:pPr>
        <w:numPr>
          <w:ilvl w:val="1"/>
          <w:numId w:val="26"/>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Fixtures:</w:t>
      </w:r>
      <w:r w:rsidRPr="002C7AE7">
        <w:rPr>
          <w:rFonts w:ascii="Arial" w:eastAsia="Times New Roman" w:hAnsi="Arial" w:cs="Arial"/>
          <w:color w:val="1B1C1D"/>
          <w:kern w:val="0"/>
          <w:lang w:eastAsia="en-ZA"/>
          <w14:ligatures w14:val="none"/>
        </w:rPr>
        <w:t xml:space="preserve"> Items permanently attached (e.g., pool pump, curtain rails) are sold with the house.</w:t>
      </w:r>
    </w:p>
    <w:p w14:paraId="672EA17A" w14:textId="77777777" w:rsidR="002C7AE7" w:rsidRPr="002C7AE7" w:rsidRDefault="002C7AE7" w:rsidP="002C7AE7">
      <w:pPr>
        <w:numPr>
          <w:ilvl w:val="1"/>
          <w:numId w:val="26"/>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lastRenderedPageBreak/>
        <w:t>Fittings:</w:t>
      </w:r>
      <w:r w:rsidRPr="002C7AE7">
        <w:rPr>
          <w:rFonts w:ascii="Arial" w:eastAsia="Times New Roman" w:hAnsi="Arial" w:cs="Arial"/>
          <w:color w:val="1B1C1D"/>
          <w:kern w:val="0"/>
          <w:lang w:eastAsia="en-ZA"/>
          <w14:ligatures w14:val="none"/>
        </w:rPr>
        <w:t xml:space="preserve"> Movable items (e.g., curtains, loose carpets) can be removed.</w:t>
      </w:r>
    </w:p>
    <w:p w14:paraId="02F5C1B5" w14:textId="73663EAE" w:rsidR="002C7AE7" w:rsidRPr="002C7AE7" w:rsidRDefault="002C7AE7" w:rsidP="002C7AE7">
      <w:pPr>
        <w:numPr>
          <w:ilvl w:val="1"/>
          <w:numId w:val="26"/>
        </w:numPr>
        <w:rPr>
          <w:rFonts w:ascii="Arial" w:eastAsia="Times New Roman" w:hAnsi="Arial" w:cs="Arial"/>
          <w:color w:val="1B1C1D"/>
          <w:kern w:val="0"/>
          <w:lang w:eastAsia="en-ZA"/>
          <w14:ligatures w14:val="none"/>
        </w:rPr>
      </w:pPr>
      <w:r w:rsidRPr="002C7AE7">
        <w:rPr>
          <w:rFonts w:ascii="Arial" w:eastAsia="Times New Roman" w:hAnsi="Arial" w:cs="Arial"/>
          <w:i/>
          <w:iCs/>
          <w:color w:val="1B1C1D"/>
          <w:kern w:val="0"/>
          <w:lang w:eastAsia="en-ZA"/>
          <w14:ligatures w14:val="none"/>
        </w:rPr>
        <w:t>Tip:</w:t>
      </w:r>
      <w:r w:rsidRPr="002C7AE7">
        <w:rPr>
          <w:rFonts w:ascii="Arial" w:eastAsia="Times New Roman" w:hAnsi="Arial" w:cs="Arial"/>
          <w:color w:val="1B1C1D"/>
          <w:kern w:val="0"/>
          <w:lang w:eastAsia="en-ZA"/>
          <w14:ligatures w14:val="none"/>
        </w:rPr>
        <w:t xml:space="preserve"> List exactly what you are taking to avoid disputes.</w:t>
      </w:r>
    </w:p>
    <w:p w14:paraId="2914DDF3" w14:textId="77777777" w:rsidR="002C7AE7" w:rsidRPr="002C7AE7" w:rsidRDefault="002C7AE7" w:rsidP="002C7AE7">
      <w:pPr>
        <w:numPr>
          <w:ilvl w:val="0"/>
          <w:numId w:val="26"/>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Suspensive Conditions:</w:t>
      </w:r>
    </w:p>
    <w:p w14:paraId="209378AA" w14:textId="347F8303" w:rsidR="002C7AE7" w:rsidRPr="002C7AE7" w:rsidRDefault="002C7AE7" w:rsidP="002C7AE7">
      <w:pPr>
        <w:numPr>
          <w:ilvl w:val="1"/>
          <w:numId w:val="26"/>
        </w:num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The sale is usually "suspended" until the buyer gets </w:t>
      </w:r>
      <w:r w:rsidRPr="002C7AE7">
        <w:rPr>
          <w:rFonts w:ascii="Arial" w:eastAsia="Times New Roman" w:hAnsi="Arial" w:cs="Arial"/>
          <w:b/>
          <w:bCs/>
          <w:color w:val="1B1C1D"/>
          <w:kern w:val="0"/>
          <w:lang w:eastAsia="en-ZA"/>
          <w14:ligatures w14:val="none"/>
        </w:rPr>
        <w:t>Bond Approval</w:t>
      </w:r>
      <w:r w:rsidRPr="002C7AE7">
        <w:rPr>
          <w:rFonts w:ascii="Arial" w:eastAsia="Times New Roman" w:hAnsi="Arial" w:cs="Arial"/>
          <w:color w:val="1B1C1D"/>
          <w:kern w:val="0"/>
          <w:lang w:eastAsia="en-ZA"/>
          <w14:ligatures w14:val="none"/>
        </w:rPr>
        <w:t xml:space="preserve"> or sells their </w:t>
      </w:r>
      <w:r w:rsidRPr="002C7AE7">
        <w:rPr>
          <w:rFonts w:ascii="Arial" w:eastAsia="Times New Roman" w:hAnsi="Arial" w:cs="Arial"/>
          <w:b/>
          <w:bCs/>
          <w:color w:val="1B1C1D"/>
          <w:kern w:val="0"/>
          <w:lang w:eastAsia="en-ZA"/>
          <w14:ligatures w14:val="none"/>
        </w:rPr>
        <w:t>current property</w:t>
      </w:r>
      <w:r w:rsidRPr="002C7AE7">
        <w:rPr>
          <w:rFonts w:ascii="Arial" w:eastAsia="Times New Roman" w:hAnsi="Arial" w:cs="Arial"/>
          <w:color w:val="1B1C1D"/>
          <w:kern w:val="0"/>
          <w:lang w:eastAsia="en-ZA"/>
          <w14:ligatures w14:val="none"/>
        </w:rPr>
        <w:t>.</w:t>
      </w:r>
    </w:p>
    <w:p w14:paraId="5488E3E1" w14:textId="1AD1CFDA" w:rsidR="002C7AE7" w:rsidRPr="002C7AE7" w:rsidRDefault="002C7AE7" w:rsidP="002C7AE7">
      <w:pPr>
        <w:numPr>
          <w:ilvl w:val="1"/>
          <w:numId w:val="26"/>
        </w:num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Do not commit to buying your </w:t>
      </w:r>
      <w:r w:rsidRPr="002C7AE7">
        <w:rPr>
          <w:rFonts w:ascii="Arial" w:eastAsia="Times New Roman" w:hAnsi="Arial" w:cs="Arial"/>
          <w:i/>
          <w:iCs/>
          <w:color w:val="1B1C1D"/>
          <w:kern w:val="0"/>
          <w:lang w:eastAsia="en-ZA"/>
          <w14:ligatures w14:val="none"/>
        </w:rPr>
        <w:t>next</w:t>
      </w:r>
      <w:r w:rsidRPr="002C7AE7">
        <w:rPr>
          <w:rFonts w:ascii="Arial" w:eastAsia="Times New Roman" w:hAnsi="Arial" w:cs="Arial"/>
          <w:color w:val="1B1C1D"/>
          <w:kern w:val="0"/>
          <w:lang w:eastAsia="en-ZA"/>
          <w14:ligatures w14:val="none"/>
        </w:rPr>
        <w:t xml:space="preserve"> home until these conditions are fully met.</w:t>
      </w:r>
    </w:p>
    <w:p w14:paraId="229B0B94"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30B16189">
          <v:rect id="_x0000_i1071" style="width:0;height:1.5pt" o:hralign="center" o:hrstd="t" o:hrnoshade="t" o:hr="t" fillcolor="gray" stroked="f"/>
        </w:pict>
      </w:r>
    </w:p>
    <w:p w14:paraId="3117E244"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5. Defects &amp; The Disclosure Report</w:t>
      </w:r>
    </w:p>
    <w:p w14:paraId="7C5018B3"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Defects are a common cause of legal disputes.</w:t>
      </w:r>
    </w:p>
    <w:p w14:paraId="27D08E9A"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The Immovable Property Condition Report (IPCR)</w:t>
      </w:r>
    </w:p>
    <w:p w14:paraId="06FB824A" w14:textId="12A4A0A2" w:rsidR="002C7AE7" w:rsidRPr="002C7AE7" w:rsidRDefault="002C7AE7" w:rsidP="002C7AE7">
      <w:pPr>
        <w:numPr>
          <w:ilvl w:val="0"/>
          <w:numId w:val="27"/>
        </w:num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If an agent is involved, you </w:t>
      </w:r>
      <w:r w:rsidRPr="002C7AE7">
        <w:rPr>
          <w:rFonts w:ascii="Arial" w:eastAsia="Times New Roman" w:hAnsi="Arial" w:cs="Arial"/>
          <w:b/>
          <w:bCs/>
          <w:color w:val="1B1C1D"/>
          <w:kern w:val="0"/>
          <w:lang w:eastAsia="en-ZA"/>
          <w14:ligatures w14:val="none"/>
        </w:rPr>
        <w:t>must</w:t>
      </w:r>
      <w:r w:rsidRPr="002C7AE7">
        <w:rPr>
          <w:rFonts w:ascii="Arial" w:eastAsia="Times New Roman" w:hAnsi="Arial" w:cs="Arial"/>
          <w:color w:val="1B1C1D"/>
          <w:kern w:val="0"/>
          <w:lang w:eastAsia="en-ZA"/>
          <w14:ligatures w14:val="none"/>
        </w:rPr>
        <w:t xml:space="preserve"> complete this report, listing all defects you are aware of.</w:t>
      </w:r>
    </w:p>
    <w:p w14:paraId="79C20A46" w14:textId="50B330BB" w:rsidR="002C7AE7" w:rsidRPr="002C7AE7" w:rsidRDefault="002C7AE7" w:rsidP="002C7AE7">
      <w:pPr>
        <w:numPr>
          <w:ilvl w:val="0"/>
          <w:numId w:val="27"/>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Patent Defects:</w:t>
      </w:r>
      <w:r w:rsidRPr="002C7AE7">
        <w:rPr>
          <w:rFonts w:ascii="Arial" w:eastAsia="Times New Roman" w:hAnsi="Arial" w:cs="Arial"/>
          <w:color w:val="1B1C1D"/>
          <w:kern w:val="0"/>
          <w:lang w:eastAsia="en-ZA"/>
          <w14:ligatures w14:val="none"/>
        </w:rPr>
        <w:t xml:space="preserve"> Visible defects (e.g., cracked window).</w:t>
      </w:r>
    </w:p>
    <w:p w14:paraId="241124E1" w14:textId="05615386" w:rsidR="002C7AE7" w:rsidRPr="002C7AE7" w:rsidRDefault="002C7AE7" w:rsidP="002C7AE7">
      <w:pPr>
        <w:numPr>
          <w:ilvl w:val="0"/>
          <w:numId w:val="27"/>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Latent Defects:</w:t>
      </w:r>
      <w:r w:rsidRPr="002C7AE7">
        <w:rPr>
          <w:rFonts w:ascii="Arial" w:eastAsia="Times New Roman" w:hAnsi="Arial" w:cs="Arial"/>
          <w:color w:val="1B1C1D"/>
          <w:kern w:val="0"/>
          <w:lang w:eastAsia="en-ZA"/>
          <w14:ligatures w14:val="none"/>
        </w:rPr>
        <w:t xml:space="preserve"> Hidden defects (e.g., leaking roof, damp behind a wardrobe).</w:t>
      </w:r>
    </w:p>
    <w:p w14:paraId="40C0928C" w14:textId="01CDEA24" w:rsidR="002C7AE7" w:rsidRPr="002C7AE7" w:rsidRDefault="002C7AE7" w:rsidP="002C7AE7">
      <w:pPr>
        <w:numPr>
          <w:ilvl w:val="0"/>
          <w:numId w:val="27"/>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Liability:</w:t>
      </w:r>
      <w:r w:rsidRPr="002C7AE7">
        <w:rPr>
          <w:rFonts w:ascii="Arial" w:eastAsia="Times New Roman" w:hAnsi="Arial" w:cs="Arial"/>
          <w:color w:val="1B1C1D"/>
          <w:kern w:val="0"/>
          <w:lang w:eastAsia="en-ZA"/>
          <w14:ligatures w14:val="none"/>
        </w:rPr>
        <w:t xml:space="preserve"> You are generally protected against claims for defects you disclosed in the report. However, you remain liable for defects you deliberately concealed or warranties you gave (e.g., "I guarantee the pool pump works").</w:t>
      </w:r>
    </w:p>
    <w:p w14:paraId="36C2D14A"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1FF79C5D">
          <v:rect id="_x0000_i1072" style="width:0;height:1.5pt" o:hralign="center" o:hrstd="t" o:hrnoshade="t" o:hr="t" fillcolor="gray" stroked="f"/>
        </w:pict>
      </w:r>
    </w:p>
    <w:p w14:paraId="6AE3C1D9"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6. The Transfer Process</w:t>
      </w:r>
    </w:p>
    <w:p w14:paraId="3E9083FD" w14:textId="539C0BDE"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 xml:space="preserve">As the seller, you typically have the right to appoint the </w:t>
      </w:r>
      <w:r w:rsidRPr="002C7AE7">
        <w:rPr>
          <w:rFonts w:ascii="Arial" w:eastAsia="Times New Roman" w:hAnsi="Arial" w:cs="Arial"/>
          <w:b/>
          <w:bCs/>
          <w:color w:val="1B1C1D"/>
          <w:kern w:val="0"/>
          <w:lang w:eastAsia="en-ZA"/>
          <w14:ligatures w14:val="none"/>
        </w:rPr>
        <w:t>Transferring Attorney</w:t>
      </w:r>
      <w:r w:rsidRPr="002C7AE7">
        <w:rPr>
          <w:rFonts w:ascii="Arial" w:eastAsia="Times New Roman" w:hAnsi="Arial" w:cs="Arial"/>
          <w:color w:val="1B1C1D"/>
          <w:kern w:val="0"/>
          <w:lang w:eastAsia="en-ZA"/>
          <w14:ligatures w14:val="none"/>
        </w:rPr>
        <w:t xml:space="preserve"> (Conveyancer).</w:t>
      </w:r>
    </w:p>
    <w:p w14:paraId="492458F3"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The Three Attorneys Involved:</w:t>
      </w:r>
    </w:p>
    <w:p w14:paraId="12754C87" w14:textId="2480249C" w:rsidR="002C7AE7" w:rsidRPr="002C7AE7" w:rsidRDefault="002C7AE7" w:rsidP="002C7AE7">
      <w:pPr>
        <w:numPr>
          <w:ilvl w:val="0"/>
          <w:numId w:val="28"/>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Transferring Attorney:</w:t>
      </w:r>
      <w:r w:rsidRPr="002C7AE7">
        <w:rPr>
          <w:rFonts w:ascii="Arial" w:eastAsia="Times New Roman" w:hAnsi="Arial" w:cs="Arial"/>
          <w:color w:val="1B1C1D"/>
          <w:kern w:val="0"/>
          <w:lang w:eastAsia="en-ZA"/>
          <w14:ligatures w14:val="none"/>
        </w:rPr>
        <w:t xml:space="preserve"> (Your appointment) Handles the entire transfer process and coordinates with all parties.</w:t>
      </w:r>
    </w:p>
    <w:p w14:paraId="3905A040" w14:textId="630940CC" w:rsidR="002C7AE7" w:rsidRPr="002C7AE7" w:rsidRDefault="002C7AE7" w:rsidP="002C7AE7">
      <w:pPr>
        <w:numPr>
          <w:ilvl w:val="0"/>
          <w:numId w:val="28"/>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Bond Cancellation Attorney:</w:t>
      </w:r>
      <w:r w:rsidRPr="002C7AE7">
        <w:rPr>
          <w:rFonts w:ascii="Arial" w:eastAsia="Times New Roman" w:hAnsi="Arial" w:cs="Arial"/>
          <w:color w:val="1B1C1D"/>
          <w:kern w:val="0"/>
          <w:lang w:eastAsia="en-ZA"/>
          <w14:ligatures w14:val="none"/>
        </w:rPr>
        <w:t xml:space="preserve"> (Appointed by your bank) Cancels your existing bond.</w:t>
      </w:r>
    </w:p>
    <w:p w14:paraId="27E17C7C" w14:textId="7507C0ED" w:rsidR="002C7AE7" w:rsidRPr="002C7AE7" w:rsidRDefault="002C7AE7" w:rsidP="002C7AE7">
      <w:pPr>
        <w:numPr>
          <w:ilvl w:val="0"/>
          <w:numId w:val="28"/>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Bond Registration Attorney:</w:t>
      </w:r>
      <w:r w:rsidRPr="002C7AE7">
        <w:rPr>
          <w:rFonts w:ascii="Arial" w:eastAsia="Times New Roman" w:hAnsi="Arial" w:cs="Arial"/>
          <w:color w:val="1B1C1D"/>
          <w:kern w:val="0"/>
          <w:lang w:eastAsia="en-ZA"/>
          <w14:ligatures w14:val="none"/>
        </w:rPr>
        <w:t xml:space="preserve"> (Appointed by the buyer's bank) Registers the buyer's new bond.</w:t>
      </w:r>
    </w:p>
    <w:p w14:paraId="10717498"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Building Plans</w:t>
      </w:r>
    </w:p>
    <w:p w14:paraId="6B92B2FF" w14:textId="458136BD"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t>While not strictly required by law to transfer a property, banks often refuse to grant a loan to the buyer without approved "as-built" plans. If your plans are not up to date, it can delay the transaction by months.</w:t>
      </w:r>
    </w:p>
    <w:p w14:paraId="75E9E149"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lastRenderedPageBreak/>
        <w:t>FICA &amp; Tax</w:t>
      </w:r>
    </w:p>
    <w:p w14:paraId="2874A914" w14:textId="091DC735" w:rsidR="002C7AE7" w:rsidRPr="002C7AE7" w:rsidRDefault="002C7AE7" w:rsidP="002C7AE7">
      <w:pPr>
        <w:numPr>
          <w:ilvl w:val="0"/>
          <w:numId w:val="29"/>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No Cash:</w:t>
      </w:r>
      <w:r w:rsidRPr="002C7AE7">
        <w:rPr>
          <w:rFonts w:ascii="Arial" w:eastAsia="Times New Roman" w:hAnsi="Arial" w:cs="Arial"/>
          <w:color w:val="1B1C1D"/>
          <w:kern w:val="0"/>
          <w:lang w:eastAsia="en-ZA"/>
          <w14:ligatures w14:val="none"/>
        </w:rPr>
        <w:t xml:space="preserve"> Do not accept cash payments directly from a buyer to "save on tax." This is money laundering and tax evasion.</w:t>
      </w:r>
    </w:p>
    <w:p w14:paraId="1E872BF9" w14:textId="566FE7DC" w:rsidR="002C7AE7" w:rsidRPr="002C7AE7" w:rsidRDefault="002C7AE7" w:rsidP="002C7AE7">
      <w:pPr>
        <w:numPr>
          <w:ilvl w:val="0"/>
          <w:numId w:val="29"/>
        </w:numPr>
        <w:rPr>
          <w:rFonts w:ascii="Arial" w:eastAsia="Times New Roman" w:hAnsi="Arial" w:cs="Arial"/>
          <w:color w:val="1B1C1D"/>
          <w:kern w:val="0"/>
          <w:lang w:eastAsia="en-ZA"/>
          <w14:ligatures w14:val="none"/>
        </w:rPr>
      </w:pPr>
      <w:r w:rsidRPr="002C7AE7">
        <w:rPr>
          <w:rFonts w:ascii="Arial" w:eastAsia="Times New Roman" w:hAnsi="Arial" w:cs="Arial"/>
          <w:b/>
          <w:bCs/>
          <w:color w:val="1B1C1D"/>
          <w:kern w:val="0"/>
          <w:lang w:eastAsia="en-ZA"/>
          <w14:ligatures w14:val="none"/>
        </w:rPr>
        <w:t>Tax Clearance:</w:t>
      </w:r>
      <w:r w:rsidRPr="002C7AE7">
        <w:rPr>
          <w:rFonts w:ascii="Arial" w:eastAsia="Times New Roman" w:hAnsi="Arial" w:cs="Arial"/>
          <w:color w:val="1B1C1D"/>
          <w:kern w:val="0"/>
          <w:lang w:eastAsia="en-ZA"/>
          <w14:ligatures w14:val="none"/>
        </w:rPr>
        <w:t xml:space="preserve"> The transfer cannot proceed if your personal income tax is not up to date with SARS. SARS will block the Transfer Duty receipt if you have outstanding returns.</w:t>
      </w:r>
    </w:p>
    <w:p w14:paraId="42AEC2C7" w14:textId="77777777" w:rsidR="002C7AE7" w:rsidRPr="002C7AE7" w:rsidRDefault="002C7AE7" w:rsidP="002C7AE7">
      <w:pPr>
        <w:rPr>
          <w:rFonts w:ascii="Arial" w:eastAsia="Times New Roman" w:hAnsi="Arial" w:cs="Arial"/>
          <w:color w:val="1B1C1D"/>
          <w:kern w:val="0"/>
          <w:lang w:eastAsia="en-ZA"/>
          <w14:ligatures w14:val="none"/>
        </w:rPr>
      </w:pPr>
      <w:r w:rsidRPr="002C7AE7">
        <w:rPr>
          <w:rFonts w:ascii="Arial" w:eastAsia="Times New Roman" w:hAnsi="Arial" w:cs="Arial"/>
          <w:color w:val="1B1C1D"/>
          <w:kern w:val="0"/>
          <w:lang w:eastAsia="en-ZA"/>
          <w14:ligatures w14:val="none"/>
        </w:rPr>
        <w:pict w14:anchorId="79365C38">
          <v:rect id="_x0000_i1073" style="width:0;height:1.5pt" o:hralign="center" o:hrstd="t" o:hrnoshade="t" o:hr="t" fillcolor="gray" stroked="f"/>
        </w:pict>
      </w:r>
    </w:p>
    <w:p w14:paraId="45732588" w14:textId="77777777" w:rsidR="002C7AE7" w:rsidRPr="002C7AE7" w:rsidRDefault="002C7AE7" w:rsidP="002C7AE7">
      <w:pPr>
        <w:rPr>
          <w:rFonts w:ascii="Arial" w:eastAsia="Times New Roman" w:hAnsi="Arial" w:cs="Arial"/>
          <w:b/>
          <w:bCs/>
          <w:color w:val="1B1C1D"/>
          <w:kern w:val="0"/>
          <w:lang w:eastAsia="en-ZA"/>
          <w14:ligatures w14:val="none"/>
        </w:rPr>
      </w:pPr>
      <w:r w:rsidRPr="002C7AE7">
        <w:rPr>
          <w:rFonts w:ascii="Arial" w:eastAsia="Times New Roman" w:hAnsi="Arial" w:cs="Arial"/>
          <w:b/>
          <w:bCs/>
          <w:color w:val="1B1C1D"/>
          <w:kern w:val="0"/>
          <w:lang w:eastAsia="en-ZA"/>
          <w14:ligatures w14:val="none"/>
        </w:rPr>
        <w:t>Seller’s Quick Checklist</w:t>
      </w:r>
    </w:p>
    <w:p w14:paraId="6D73B90E"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Notice:</w:t>
      </w:r>
      <w:r w:rsidRPr="002C7AE7">
        <w:rPr>
          <w:rFonts w:ascii="Arial" w:eastAsia="Times New Roman" w:hAnsi="Arial" w:cs="Arial"/>
          <w:color w:val="1B1C1D"/>
          <w:kern w:val="0"/>
          <w:lang w:eastAsia="en-ZA"/>
          <w14:ligatures w14:val="none"/>
        </w:rPr>
        <w:t xml:space="preserve"> Have you given your bank 90 days' notice to cancel your bond?</w:t>
      </w:r>
    </w:p>
    <w:p w14:paraId="0B8F4873"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Agent:</w:t>
      </w:r>
      <w:r w:rsidRPr="002C7AE7">
        <w:rPr>
          <w:rFonts w:ascii="Arial" w:eastAsia="Times New Roman" w:hAnsi="Arial" w:cs="Arial"/>
          <w:color w:val="1B1C1D"/>
          <w:kern w:val="0"/>
          <w:lang w:eastAsia="en-ZA"/>
          <w14:ligatures w14:val="none"/>
        </w:rPr>
        <w:t xml:space="preserve"> Does your agent have a valid FFC?</w:t>
      </w:r>
    </w:p>
    <w:p w14:paraId="12DB08B8"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Mandate:</w:t>
      </w:r>
      <w:r w:rsidRPr="002C7AE7">
        <w:rPr>
          <w:rFonts w:ascii="Arial" w:eastAsia="Times New Roman" w:hAnsi="Arial" w:cs="Arial"/>
          <w:color w:val="1B1C1D"/>
          <w:kern w:val="0"/>
          <w:lang w:eastAsia="en-ZA"/>
          <w14:ligatures w14:val="none"/>
        </w:rPr>
        <w:t xml:space="preserve"> Is your mandate in writing and clearly defined (Sole vs. Open)?</w:t>
      </w:r>
    </w:p>
    <w:p w14:paraId="77EA435F"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Disclosure:</w:t>
      </w:r>
      <w:r w:rsidRPr="002C7AE7">
        <w:rPr>
          <w:rFonts w:ascii="Arial" w:eastAsia="Times New Roman" w:hAnsi="Arial" w:cs="Arial"/>
          <w:color w:val="1B1C1D"/>
          <w:kern w:val="0"/>
          <w:lang w:eastAsia="en-ZA"/>
          <w14:ligatures w14:val="none"/>
        </w:rPr>
        <w:t xml:space="preserve"> Have you completed the IPCR honestly?</w:t>
      </w:r>
    </w:p>
    <w:p w14:paraId="71278D1E"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Plans:</w:t>
      </w:r>
      <w:r w:rsidRPr="002C7AE7">
        <w:rPr>
          <w:rFonts w:ascii="Arial" w:eastAsia="Times New Roman" w:hAnsi="Arial" w:cs="Arial"/>
          <w:color w:val="1B1C1D"/>
          <w:kern w:val="0"/>
          <w:lang w:eastAsia="en-ZA"/>
          <w14:ligatures w14:val="none"/>
        </w:rPr>
        <w:t xml:space="preserve"> Are your building plans up to date?</w:t>
      </w:r>
    </w:p>
    <w:p w14:paraId="155DB09C"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Certificates:</w:t>
      </w:r>
      <w:r w:rsidRPr="002C7AE7">
        <w:rPr>
          <w:rFonts w:ascii="Arial" w:eastAsia="Times New Roman" w:hAnsi="Arial" w:cs="Arial"/>
          <w:color w:val="1B1C1D"/>
          <w:kern w:val="0"/>
          <w:lang w:eastAsia="en-ZA"/>
          <w14:ligatures w14:val="none"/>
        </w:rPr>
        <w:t xml:space="preserve"> Have you budgeted for Electrical, Gas, and Fence certificates?</w:t>
      </w:r>
    </w:p>
    <w:p w14:paraId="464D1C20" w14:textId="77777777" w:rsidR="002C7AE7" w:rsidRPr="002C7AE7" w:rsidRDefault="002C7AE7" w:rsidP="002C7AE7">
      <w:pPr>
        <w:numPr>
          <w:ilvl w:val="0"/>
          <w:numId w:val="30"/>
        </w:numPr>
        <w:rPr>
          <w:rFonts w:ascii="Arial" w:eastAsia="Times New Roman" w:hAnsi="Arial" w:cs="Arial"/>
          <w:color w:val="1B1C1D"/>
          <w:kern w:val="0"/>
          <w:lang w:eastAsia="en-ZA"/>
          <w14:ligatures w14:val="none"/>
        </w:rPr>
      </w:pPr>
      <w:proofErr w:type="gramStart"/>
      <w:r w:rsidRPr="002C7AE7">
        <w:rPr>
          <w:rFonts w:ascii="Arial" w:eastAsia="Times New Roman" w:hAnsi="Arial" w:cs="Arial"/>
          <w:color w:val="1B1C1D"/>
          <w:kern w:val="0"/>
          <w:lang w:eastAsia="en-ZA"/>
          <w14:ligatures w14:val="none"/>
        </w:rPr>
        <w:t>[ ]</w:t>
      </w:r>
      <w:proofErr w:type="gramEnd"/>
      <w:r w:rsidRPr="002C7AE7">
        <w:rPr>
          <w:rFonts w:ascii="Arial" w:eastAsia="Times New Roman" w:hAnsi="Arial" w:cs="Arial"/>
          <w:color w:val="1B1C1D"/>
          <w:kern w:val="0"/>
          <w:lang w:eastAsia="en-ZA"/>
          <w14:ligatures w14:val="none"/>
        </w:rPr>
        <w:t xml:space="preserve"> </w:t>
      </w:r>
      <w:r w:rsidRPr="002C7AE7">
        <w:rPr>
          <w:rFonts w:ascii="Arial" w:eastAsia="Times New Roman" w:hAnsi="Arial" w:cs="Arial"/>
          <w:b/>
          <w:bCs/>
          <w:color w:val="1B1C1D"/>
          <w:kern w:val="0"/>
          <w:lang w:eastAsia="en-ZA"/>
          <w14:ligatures w14:val="none"/>
        </w:rPr>
        <w:t>Tax:</w:t>
      </w:r>
      <w:r w:rsidRPr="002C7AE7">
        <w:rPr>
          <w:rFonts w:ascii="Arial" w:eastAsia="Times New Roman" w:hAnsi="Arial" w:cs="Arial"/>
          <w:color w:val="1B1C1D"/>
          <w:kern w:val="0"/>
          <w:lang w:eastAsia="en-ZA"/>
          <w14:ligatures w14:val="none"/>
        </w:rPr>
        <w:t xml:space="preserve"> Are your tax affairs in order with SARS?</w:t>
      </w:r>
    </w:p>
    <w:p w14:paraId="7B744E03" w14:textId="77777777" w:rsidR="006A4C0D" w:rsidRPr="002C7AE7" w:rsidRDefault="006A4C0D" w:rsidP="002C7AE7"/>
    <w:sectPr w:rsidR="006A4C0D" w:rsidRPr="002C7A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A8D"/>
    <w:multiLevelType w:val="multilevel"/>
    <w:tmpl w:val="F3D0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35139"/>
    <w:multiLevelType w:val="multilevel"/>
    <w:tmpl w:val="7C7C2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C7A11"/>
    <w:multiLevelType w:val="multilevel"/>
    <w:tmpl w:val="717E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F0B4B"/>
    <w:multiLevelType w:val="multilevel"/>
    <w:tmpl w:val="EE2A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A24A3"/>
    <w:multiLevelType w:val="multilevel"/>
    <w:tmpl w:val="67D0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010F1"/>
    <w:multiLevelType w:val="multilevel"/>
    <w:tmpl w:val="58C2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068DA"/>
    <w:multiLevelType w:val="multilevel"/>
    <w:tmpl w:val="88E0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80A18"/>
    <w:multiLevelType w:val="multilevel"/>
    <w:tmpl w:val="B7E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448E1"/>
    <w:multiLevelType w:val="multilevel"/>
    <w:tmpl w:val="2FF2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A437C7"/>
    <w:multiLevelType w:val="multilevel"/>
    <w:tmpl w:val="06E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94E25"/>
    <w:multiLevelType w:val="multilevel"/>
    <w:tmpl w:val="4796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66627"/>
    <w:multiLevelType w:val="multilevel"/>
    <w:tmpl w:val="7ABE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C01B80"/>
    <w:multiLevelType w:val="multilevel"/>
    <w:tmpl w:val="4B0EC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F1A82"/>
    <w:multiLevelType w:val="multilevel"/>
    <w:tmpl w:val="5D2C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47AEC"/>
    <w:multiLevelType w:val="multilevel"/>
    <w:tmpl w:val="095E9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427C0D"/>
    <w:multiLevelType w:val="multilevel"/>
    <w:tmpl w:val="9A5C2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CA39DA"/>
    <w:multiLevelType w:val="multilevel"/>
    <w:tmpl w:val="53C8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9965EB"/>
    <w:multiLevelType w:val="multilevel"/>
    <w:tmpl w:val="4730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135A4"/>
    <w:multiLevelType w:val="multilevel"/>
    <w:tmpl w:val="3C4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B723C4"/>
    <w:multiLevelType w:val="multilevel"/>
    <w:tmpl w:val="8848A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CC22CC"/>
    <w:multiLevelType w:val="multilevel"/>
    <w:tmpl w:val="4E5C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7B7289"/>
    <w:multiLevelType w:val="multilevel"/>
    <w:tmpl w:val="6838B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B5D0D"/>
    <w:multiLevelType w:val="multilevel"/>
    <w:tmpl w:val="0F58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5A6038"/>
    <w:multiLevelType w:val="multilevel"/>
    <w:tmpl w:val="26F29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7C4E4A"/>
    <w:multiLevelType w:val="multilevel"/>
    <w:tmpl w:val="60CE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F71AED"/>
    <w:multiLevelType w:val="multilevel"/>
    <w:tmpl w:val="4614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E039C"/>
    <w:multiLevelType w:val="multilevel"/>
    <w:tmpl w:val="2E36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891A3A"/>
    <w:multiLevelType w:val="multilevel"/>
    <w:tmpl w:val="C74C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DD6C64"/>
    <w:multiLevelType w:val="multilevel"/>
    <w:tmpl w:val="1F6CE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5B2938"/>
    <w:multiLevelType w:val="multilevel"/>
    <w:tmpl w:val="2AEE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221338">
    <w:abstractNumId w:val="25"/>
  </w:num>
  <w:num w:numId="2" w16cid:durableId="1649361013">
    <w:abstractNumId w:val="22"/>
  </w:num>
  <w:num w:numId="3" w16cid:durableId="189344966">
    <w:abstractNumId w:val="4"/>
  </w:num>
  <w:num w:numId="4" w16cid:durableId="99420525">
    <w:abstractNumId w:val="18"/>
  </w:num>
  <w:num w:numId="5" w16cid:durableId="2012751849">
    <w:abstractNumId w:val="11"/>
  </w:num>
  <w:num w:numId="6" w16cid:durableId="2094161884">
    <w:abstractNumId w:val="19"/>
  </w:num>
  <w:num w:numId="7" w16cid:durableId="1455368697">
    <w:abstractNumId w:val="17"/>
  </w:num>
  <w:num w:numId="8" w16cid:durableId="1458260851">
    <w:abstractNumId w:val="21"/>
  </w:num>
  <w:num w:numId="9" w16cid:durableId="138957785">
    <w:abstractNumId w:val="9"/>
  </w:num>
  <w:num w:numId="10" w16cid:durableId="1879079213">
    <w:abstractNumId w:val="29"/>
  </w:num>
  <w:num w:numId="11" w16cid:durableId="1019745801">
    <w:abstractNumId w:val="26"/>
  </w:num>
  <w:num w:numId="12" w16cid:durableId="1805658443">
    <w:abstractNumId w:val="1"/>
  </w:num>
  <w:num w:numId="13" w16cid:durableId="1527210450">
    <w:abstractNumId w:val="20"/>
  </w:num>
  <w:num w:numId="14" w16cid:durableId="521672206">
    <w:abstractNumId w:val="27"/>
  </w:num>
  <w:num w:numId="15" w16cid:durableId="1203902368">
    <w:abstractNumId w:val="10"/>
  </w:num>
  <w:num w:numId="16" w16cid:durableId="192236141">
    <w:abstractNumId w:val="28"/>
  </w:num>
  <w:num w:numId="17" w16cid:durableId="897326186">
    <w:abstractNumId w:val="3"/>
  </w:num>
  <w:num w:numId="18" w16cid:durableId="282419193">
    <w:abstractNumId w:val="15"/>
  </w:num>
  <w:num w:numId="19" w16cid:durableId="987590922">
    <w:abstractNumId w:val="6"/>
  </w:num>
  <w:num w:numId="20" w16cid:durableId="713775434">
    <w:abstractNumId w:val="16"/>
  </w:num>
  <w:num w:numId="21" w16cid:durableId="356736218">
    <w:abstractNumId w:val="2"/>
  </w:num>
  <w:num w:numId="22" w16cid:durableId="1726447031">
    <w:abstractNumId w:val="23"/>
  </w:num>
  <w:num w:numId="23" w16cid:durableId="2107653936">
    <w:abstractNumId w:val="7"/>
  </w:num>
  <w:num w:numId="24" w16cid:durableId="1401978474">
    <w:abstractNumId w:val="13"/>
  </w:num>
  <w:num w:numId="25" w16cid:durableId="43145630">
    <w:abstractNumId w:val="0"/>
  </w:num>
  <w:num w:numId="26" w16cid:durableId="1636331734">
    <w:abstractNumId w:val="12"/>
  </w:num>
  <w:num w:numId="27" w16cid:durableId="1318267594">
    <w:abstractNumId w:val="5"/>
  </w:num>
  <w:num w:numId="28" w16cid:durableId="1889100660">
    <w:abstractNumId w:val="14"/>
  </w:num>
  <w:num w:numId="29" w16cid:durableId="1719818498">
    <w:abstractNumId w:val="8"/>
  </w:num>
  <w:num w:numId="30" w16cid:durableId="17732776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AE7"/>
    <w:rsid w:val="00203331"/>
    <w:rsid w:val="002C7AE7"/>
    <w:rsid w:val="006A4C0D"/>
    <w:rsid w:val="00CF6F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E1D4"/>
  <w15:chartTrackingRefBased/>
  <w15:docId w15:val="{842FC04C-0E93-4859-A7F8-11690AD5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AE7"/>
    <w:rPr>
      <w:rFonts w:eastAsiaTheme="majorEastAsia" w:cstheme="majorBidi"/>
      <w:color w:val="272727" w:themeColor="text1" w:themeTint="D8"/>
    </w:rPr>
  </w:style>
  <w:style w:type="paragraph" w:styleId="Title">
    <w:name w:val="Title"/>
    <w:basedOn w:val="Normal"/>
    <w:next w:val="Normal"/>
    <w:link w:val="TitleChar"/>
    <w:uiPriority w:val="10"/>
    <w:qFormat/>
    <w:rsid w:val="002C7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AE7"/>
    <w:pPr>
      <w:spacing w:before="160"/>
      <w:jc w:val="center"/>
    </w:pPr>
    <w:rPr>
      <w:i/>
      <w:iCs/>
      <w:color w:val="404040" w:themeColor="text1" w:themeTint="BF"/>
    </w:rPr>
  </w:style>
  <w:style w:type="character" w:customStyle="1" w:styleId="QuoteChar">
    <w:name w:val="Quote Char"/>
    <w:basedOn w:val="DefaultParagraphFont"/>
    <w:link w:val="Quote"/>
    <w:uiPriority w:val="29"/>
    <w:rsid w:val="002C7AE7"/>
    <w:rPr>
      <w:i/>
      <w:iCs/>
      <w:color w:val="404040" w:themeColor="text1" w:themeTint="BF"/>
    </w:rPr>
  </w:style>
  <w:style w:type="paragraph" w:styleId="ListParagraph">
    <w:name w:val="List Paragraph"/>
    <w:basedOn w:val="Normal"/>
    <w:uiPriority w:val="34"/>
    <w:qFormat/>
    <w:rsid w:val="002C7AE7"/>
    <w:pPr>
      <w:ind w:left="720"/>
      <w:contextualSpacing/>
    </w:pPr>
  </w:style>
  <w:style w:type="character" w:styleId="IntenseEmphasis">
    <w:name w:val="Intense Emphasis"/>
    <w:basedOn w:val="DefaultParagraphFont"/>
    <w:uiPriority w:val="21"/>
    <w:qFormat/>
    <w:rsid w:val="002C7AE7"/>
    <w:rPr>
      <w:i/>
      <w:iCs/>
      <w:color w:val="0F4761" w:themeColor="accent1" w:themeShade="BF"/>
    </w:rPr>
  </w:style>
  <w:style w:type="paragraph" w:styleId="IntenseQuote">
    <w:name w:val="Intense Quote"/>
    <w:basedOn w:val="Normal"/>
    <w:next w:val="Normal"/>
    <w:link w:val="IntenseQuoteChar"/>
    <w:uiPriority w:val="30"/>
    <w:qFormat/>
    <w:rsid w:val="002C7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AE7"/>
    <w:rPr>
      <w:i/>
      <w:iCs/>
      <w:color w:val="0F4761" w:themeColor="accent1" w:themeShade="BF"/>
    </w:rPr>
  </w:style>
  <w:style w:type="character" w:styleId="IntenseReference">
    <w:name w:val="Intense Reference"/>
    <w:basedOn w:val="DefaultParagraphFont"/>
    <w:uiPriority w:val="32"/>
    <w:qFormat/>
    <w:rsid w:val="002C7A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922</Words>
  <Characters>4814</Characters>
  <Application>Microsoft Office Word</Application>
  <DocSecurity>0</DocSecurity>
  <Lines>111</Lines>
  <Paragraphs>77</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 Prop</dc:creator>
  <cp:keywords/>
  <dc:description/>
  <cp:lastModifiedBy>Re Prop</cp:lastModifiedBy>
  <cp:revision>1</cp:revision>
  <dcterms:created xsi:type="dcterms:W3CDTF">2025-11-20T13:33:00Z</dcterms:created>
  <dcterms:modified xsi:type="dcterms:W3CDTF">2025-11-20T13:44:00Z</dcterms:modified>
</cp:coreProperties>
</file>